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ascii="华文中宋" w:hAnsi="华文中宋" w:eastAsia="华文中宋"/>
          <w:b/>
          <w:bCs/>
          <w:spacing w:val="-4"/>
          <w:sz w:val="36"/>
          <w:szCs w:val="36"/>
        </w:rPr>
      </w:pPr>
      <w:r>
        <w:rPr>
          <w:rFonts w:hint="eastAsia" w:ascii="华文中宋" w:hAnsi="华文中宋" w:eastAsia="华文中宋"/>
          <w:b/>
          <w:bCs/>
          <w:spacing w:val="-4"/>
          <w:sz w:val="36"/>
          <w:szCs w:val="36"/>
        </w:rPr>
        <w:t>中国证监会山东监管局关于</w:t>
      </w:r>
      <w:r>
        <w:rPr>
          <w:rFonts w:ascii="华文中宋" w:hAnsi="华文中宋" w:eastAsia="华文中宋"/>
          <w:b/>
          <w:bCs/>
          <w:spacing w:val="-4"/>
          <w:sz w:val="36"/>
          <w:szCs w:val="36"/>
        </w:rPr>
        <w:t>2018</w:t>
      </w:r>
      <w:r>
        <w:rPr>
          <w:rFonts w:hint="eastAsia" w:ascii="华文中宋" w:hAnsi="华文中宋" w:eastAsia="华文中宋"/>
          <w:b/>
          <w:bCs/>
          <w:spacing w:val="-4"/>
          <w:sz w:val="36"/>
          <w:szCs w:val="36"/>
        </w:rPr>
        <w:t>年度考试录用参照公务员法管理事业单位工作人员面试公告</w:t>
      </w:r>
    </w:p>
    <w:p>
      <w:pPr>
        <w:pStyle w:val="5"/>
        <w:jc w:val="center"/>
        <w:rPr>
          <w:rFonts w:eastAsia="仿宋_GB2312"/>
          <w:b/>
          <w:sz w:val="32"/>
          <w:szCs w:val="32"/>
        </w:rPr>
      </w:pPr>
    </w:p>
    <w:p>
      <w:pPr>
        <w:spacing w:line="360" w:lineRule="auto"/>
        <w:ind w:firstLine="640" w:firstLineChars="200"/>
        <w:rPr>
          <w:rFonts w:eastAsia="仿宋_GB2312"/>
          <w:sz w:val="32"/>
          <w:szCs w:val="32"/>
        </w:rPr>
      </w:pPr>
      <w:r>
        <w:rPr>
          <w:rFonts w:hint="eastAsia" w:eastAsia="仿宋_GB2312"/>
          <w:sz w:val="32"/>
          <w:szCs w:val="32"/>
        </w:rPr>
        <w:t>根据公务员录用工作有关规定，按照中国证监会的统一部署，</w:t>
      </w:r>
      <w:r>
        <w:rPr>
          <w:rFonts w:eastAsia="仿宋_GB2312"/>
          <w:sz w:val="32"/>
          <w:szCs w:val="32"/>
        </w:rPr>
        <w:t>2018</w:t>
      </w:r>
      <w:r>
        <w:rPr>
          <w:rFonts w:hint="eastAsia" w:eastAsia="仿宋_GB2312"/>
          <w:sz w:val="32"/>
          <w:szCs w:val="32"/>
        </w:rPr>
        <w:t>年度中国证监会山东监管局公务员招录面试定于</w:t>
      </w:r>
      <w:r>
        <w:rPr>
          <w:rFonts w:eastAsia="仿宋_GB2312"/>
          <w:sz w:val="32"/>
          <w:szCs w:val="32"/>
        </w:rPr>
        <w:t>2018</w:t>
      </w:r>
      <w:r>
        <w:rPr>
          <w:rFonts w:hint="eastAsia" w:eastAsia="仿宋_GB2312"/>
          <w:sz w:val="32"/>
          <w:szCs w:val="32"/>
        </w:rPr>
        <w:t>年</w:t>
      </w:r>
      <w:r>
        <w:rPr>
          <w:rFonts w:eastAsia="仿宋_GB2312"/>
          <w:sz w:val="32"/>
          <w:szCs w:val="32"/>
        </w:rPr>
        <w:t>3</w:t>
      </w:r>
      <w:r>
        <w:rPr>
          <w:rFonts w:hint="eastAsia" w:eastAsia="仿宋_GB2312"/>
          <w:sz w:val="32"/>
          <w:szCs w:val="32"/>
        </w:rPr>
        <w:t>月</w:t>
      </w:r>
      <w:r>
        <w:rPr>
          <w:rFonts w:eastAsia="仿宋_GB2312"/>
          <w:sz w:val="32"/>
          <w:szCs w:val="32"/>
        </w:rPr>
        <w:t>10</w:t>
      </w:r>
      <w:r>
        <w:rPr>
          <w:rFonts w:hint="eastAsia" w:eastAsia="仿宋_GB2312"/>
          <w:sz w:val="32"/>
          <w:szCs w:val="32"/>
        </w:rPr>
        <w:t>日（星期六）进行，现就有关事宜公告如下：</w:t>
      </w:r>
    </w:p>
    <w:p>
      <w:pPr>
        <w:autoSpaceDN w:val="0"/>
        <w:spacing w:line="360" w:lineRule="auto"/>
        <w:ind w:left="420" w:leftChars="200"/>
        <w:rPr>
          <w:rFonts w:eastAsia="黑体"/>
          <w:color w:val="000000"/>
          <w:sz w:val="32"/>
        </w:rPr>
      </w:pPr>
      <w:r>
        <w:rPr>
          <w:rFonts w:hint="eastAsia"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top w:val="single" w:color="auto" w:sz="4" w:space="0"/>
              <w:bottom w:val="single" w:color="000000" w:sz="6" w:space="0"/>
              <w:right w:val="single" w:color="000000" w:sz="6" w:space="0"/>
            </w:tcBorders>
            <w:vAlign w:val="center"/>
          </w:tcPr>
          <w:p>
            <w:pPr>
              <w:widowControl/>
              <w:jc w:val="center"/>
              <w:rPr>
                <w:rFonts w:eastAsia="黑体"/>
                <w:b/>
                <w:bCs/>
                <w:kern w:val="0"/>
                <w:sz w:val="28"/>
                <w:szCs w:val="28"/>
              </w:rPr>
            </w:pPr>
            <w:bookmarkStart w:id="0" w:name="RANGE!B4:F45"/>
            <w:bookmarkEnd w:id="0"/>
            <w:r>
              <w:rPr>
                <w:rFonts w:hint="eastAsia" w:eastAsia="黑体"/>
                <w:b/>
                <w:bCs/>
                <w:kern w:val="0"/>
                <w:sz w:val="28"/>
                <w:szCs w:val="28"/>
              </w:rPr>
              <w:t>职位名称及代码</w:t>
            </w:r>
          </w:p>
        </w:tc>
        <w:tc>
          <w:tcPr>
            <w:tcW w:w="1229" w:type="dxa"/>
            <w:tcBorders>
              <w:top w:val="single" w:color="auto" w:sz="4" w:space="0"/>
              <w:left w:val="nil"/>
              <w:bottom w:val="single" w:color="000000" w:sz="6" w:space="0"/>
              <w:right w:val="single" w:color="000000" w:sz="6" w:space="0"/>
            </w:tcBorders>
            <w:vAlign w:val="center"/>
          </w:tcPr>
          <w:p>
            <w:pPr>
              <w:widowControl/>
              <w:jc w:val="center"/>
              <w:rPr>
                <w:rFonts w:eastAsia="黑体"/>
                <w:b/>
                <w:bCs/>
                <w:kern w:val="0"/>
                <w:sz w:val="28"/>
                <w:szCs w:val="28"/>
              </w:rPr>
            </w:pPr>
            <w:r>
              <w:rPr>
                <w:rFonts w:hint="eastAsia" w:eastAsia="黑体"/>
                <w:b/>
                <w:bCs/>
                <w:kern w:val="0"/>
                <w:sz w:val="28"/>
                <w:szCs w:val="28"/>
              </w:rPr>
              <w:t>面试</w:t>
            </w:r>
          </w:p>
          <w:p>
            <w:pPr>
              <w:widowControl/>
              <w:jc w:val="center"/>
              <w:rPr>
                <w:rFonts w:eastAsia="黑体"/>
                <w:b/>
                <w:bCs/>
                <w:kern w:val="0"/>
                <w:sz w:val="28"/>
                <w:szCs w:val="28"/>
              </w:rPr>
            </w:pPr>
            <w:r>
              <w:rPr>
                <w:rFonts w:hint="eastAsia" w:eastAsia="黑体"/>
                <w:b/>
                <w:bCs/>
                <w:kern w:val="0"/>
                <w:sz w:val="28"/>
                <w:szCs w:val="28"/>
              </w:rPr>
              <w:t>分数线</w:t>
            </w:r>
          </w:p>
        </w:tc>
        <w:tc>
          <w:tcPr>
            <w:tcW w:w="1229" w:type="dxa"/>
            <w:tcBorders>
              <w:top w:val="single" w:color="auto" w:sz="4" w:space="0"/>
              <w:left w:val="nil"/>
              <w:bottom w:val="single" w:color="000000" w:sz="6" w:space="0"/>
              <w:right w:val="single" w:color="000000" w:sz="6" w:space="0"/>
            </w:tcBorders>
            <w:vAlign w:val="center"/>
          </w:tcPr>
          <w:p>
            <w:pPr>
              <w:widowControl/>
              <w:jc w:val="center"/>
              <w:rPr>
                <w:rFonts w:eastAsia="黑体"/>
                <w:b/>
                <w:bCs/>
                <w:kern w:val="0"/>
                <w:sz w:val="28"/>
                <w:szCs w:val="28"/>
              </w:rPr>
            </w:pPr>
            <w:r>
              <w:rPr>
                <w:rFonts w:hint="eastAsia" w:eastAsia="黑体"/>
                <w:b/>
                <w:bCs/>
                <w:kern w:val="0"/>
                <w:sz w:val="28"/>
                <w:szCs w:val="28"/>
              </w:rPr>
              <w:t>姓 名</w:t>
            </w:r>
          </w:p>
        </w:tc>
        <w:tc>
          <w:tcPr>
            <w:tcW w:w="2149" w:type="dxa"/>
            <w:tcBorders>
              <w:top w:val="single" w:color="auto" w:sz="4" w:space="0"/>
              <w:left w:val="nil"/>
              <w:bottom w:val="single" w:color="000000" w:sz="6" w:space="0"/>
              <w:right w:val="single" w:color="000000" w:sz="6" w:space="0"/>
            </w:tcBorders>
            <w:vAlign w:val="center"/>
          </w:tcPr>
          <w:p>
            <w:pPr>
              <w:widowControl/>
              <w:jc w:val="center"/>
              <w:rPr>
                <w:rFonts w:eastAsia="黑体"/>
                <w:b/>
                <w:bCs/>
                <w:kern w:val="0"/>
                <w:sz w:val="28"/>
                <w:szCs w:val="28"/>
              </w:rPr>
            </w:pPr>
            <w:r>
              <w:rPr>
                <w:rFonts w:hint="eastAsia" w:eastAsia="黑体"/>
                <w:b/>
                <w:bCs/>
                <w:kern w:val="0"/>
                <w:sz w:val="28"/>
                <w:szCs w:val="28"/>
              </w:rPr>
              <w:t>准考证号</w:t>
            </w:r>
          </w:p>
        </w:tc>
        <w:tc>
          <w:tcPr>
            <w:tcW w:w="1495" w:type="dxa"/>
            <w:tcBorders>
              <w:top w:val="single" w:color="auto" w:sz="4" w:space="0"/>
              <w:left w:val="nil"/>
              <w:bottom w:val="single" w:color="000000" w:sz="6" w:space="0"/>
            </w:tcBorders>
            <w:vAlign w:val="center"/>
          </w:tcPr>
          <w:p>
            <w:pPr>
              <w:widowControl/>
              <w:jc w:val="center"/>
              <w:rPr>
                <w:rFonts w:eastAsia="黑体"/>
                <w:b/>
                <w:bCs/>
                <w:kern w:val="0"/>
                <w:sz w:val="28"/>
                <w:szCs w:val="28"/>
              </w:rPr>
            </w:pPr>
            <w:r>
              <w:rPr>
                <w:rFonts w:hint="eastAsia" w:eastAsia="黑体"/>
                <w:b/>
                <w:bCs/>
                <w:kern w:val="0"/>
                <w:sz w:val="28"/>
                <w:szCs w:val="28"/>
              </w:rPr>
              <w:t>备注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restart"/>
            <w:tcBorders>
              <w:top w:val="single" w:color="000000" w:sz="6" w:space="0"/>
              <w:left w:val="single" w:color="000000" w:sz="6" w:space="0"/>
              <w:bottom w:val="single" w:color="000000" w:sz="6" w:space="0"/>
              <w:right w:val="single" w:color="000000" w:sz="6" w:space="0"/>
            </w:tcBorders>
            <w:vAlign w:val="center"/>
          </w:tcPr>
          <w:p>
            <w:pPr>
              <w:widowControl/>
              <w:spacing w:line="360" w:lineRule="auto"/>
              <w:jc w:val="center"/>
              <w:rPr>
                <w:kern w:val="0"/>
                <w:sz w:val="24"/>
                <w:szCs w:val="24"/>
              </w:rPr>
            </w:pPr>
            <w:r>
              <w:rPr>
                <w:kern w:val="0"/>
                <w:sz w:val="24"/>
                <w:szCs w:val="24"/>
              </w:rPr>
              <w:t>辖区市场财金类监管岗位主任科员及以下</w:t>
            </w:r>
            <w:r>
              <w:rPr>
                <w:sz w:val="24"/>
                <w:szCs w:val="24"/>
              </w:rPr>
              <w:t>（400140819001）</w:t>
            </w:r>
          </w:p>
        </w:tc>
        <w:tc>
          <w:tcPr>
            <w:tcW w:w="1229" w:type="dxa"/>
            <w:vMerge w:val="restart"/>
            <w:tcBorders>
              <w:top w:val="single" w:color="000000" w:sz="6" w:space="0"/>
              <w:left w:val="nil"/>
              <w:bottom w:val="single" w:color="000000" w:sz="6" w:space="0"/>
              <w:right w:val="single" w:color="000000" w:sz="6" w:space="0"/>
            </w:tcBorders>
            <w:vAlign w:val="center"/>
          </w:tcPr>
          <w:p>
            <w:pPr>
              <w:jc w:val="center"/>
              <w:rPr>
                <w:kern w:val="0"/>
                <w:sz w:val="24"/>
                <w:szCs w:val="24"/>
              </w:rPr>
            </w:pPr>
            <w:r>
              <w:rPr>
                <w:sz w:val="24"/>
                <w:szCs w:val="24"/>
              </w:rPr>
              <w:t>65.100</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李锋</w:t>
            </w:r>
          </w:p>
        </w:tc>
        <w:tc>
          <w:tcPr>
            <w:tcW w:w="2149" w:type="dxa"/>
            <w:tcBorders>
              <w:top w:val="single" w:color="000000" w:sz="6"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155139020213</w:t>
            </w:r>
          </w:p>
        </w:tc>
        <w:tc>
          <w:tcPr>
            <w:tcW w:w="1495" w:type="dxa"/>
            <w:tcBorders>
              <w:top w:val="single" w:color="000000" w:sz="6"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center"/>
              <w:rPr>
                <w:kern w:val="0"/>
                <w:sz w:val="24"/>
                <w:szCs w:val="24"/>
              </w:rPr>
            </w:pPr>
          </w:p>
        </w:tc>
        <w:tc>
          <w:tcPr>
            <w:tcW w:w="1229" w:type="dxa"/>
            <w:vMerge w:val="continue"/>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李胜娴</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155139021128</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center"/>
              <w:rPr>
                <w:kern w:val="0"/>
                <w:sz w:val="24"/>
                <w:szCs w:val="24"/>
              </w:rPr>
            </w:pPr>
          </w:p>
        </w:tc>
        <w:tc>
          <w:tcPr>
            <w:tcW w:w="1229" w:type="dxa"/>
            <w:vMerge w:val="continue"/>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赵明金</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155139021601</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center"/>
              <w:rPr>
                <w:kern w:val="0"/>
                <w:sz w:val="24"/>
                <w:szCs w:val="24"/>
              </w:rPr>
            </w:pPr>
          </w:p>
        </w:tc>
        <w:tc>
          <w:tcPr>
            <w:tcW w:w="1229" w:type="dxa"/>
            <w:vMerge w:val="continue"/>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刘元</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155139021826</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center"/>
              <w:rPr>
                <w:kern w:val="0"/>
                <w:sz w:val="24"/>
                <w:szCs w:val="24"/>
              </w:rPr>
            </w:pPr>
          </w:p>
        </w:tc>
        <w:tc>
          <w:tcPr>
            <w:tcW w:w="1229" w:type="dxa"/>
            <w:vMerge w:val="continue"/>
            <w:tcBorders>
              <w:top w:val="single" w:color="000000" w:sz="6" w:space="0"/>
              <w:left w:val="nil"/>
              <w:bottom w:val="single" w:color="000000" w:sz="6"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高尚</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155139022809</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restart"/>
            <w:tcBorders>
              <w:top w:val="single" w:color="000000" w:sz="6" w:space="0"/>
              <w:right w:val="single" w:color="000000" w:sz="6" w:space="0"/>
            </w:tcBorders>
            <w:vAlign w:val="center"/>
          </w:tcPr>
          <w:p>
            <w:pPr>
              <w:widowControl/>
              <w:spacing w:line="360" w:lineRule="auto"/>
              <w:jc w:val="center"/>
              <w:rPr>
                <w:kern w:val="0"/>
                <w:sz w:val="24"/>
                <w:szCs w:val="24"/>
              </w:rPr>
            </w:pPr>
            <w:r>
              <w:rPr>
                <w:kern w:val="0"/>
                <w:sz w:val="24"/>
                <w:szCs w:val="24"/>
              </w:rPr>
              <w:t>辖区市场会计类监管岗位主任科员及以下</w:t>
            </w:r>
            <w:r>
              <w:rPr>
                <w:sz w:val="24"/>
                <w:szCs w:val="24"/>
              </w:rPr>
              <w:t>（400141819001）</w:t>
            </w:r>
          </w:p>
          <w:p>
            <w:pPr>
              <w:widowControl/>
              <w:jc w:val="center"/>
              <w:rPr>
                <w:kern w:val="0"/>
                <w:sz w:val="24"/>
                <w:szCs w:val="24"/>
              </w:rPr>
            </w:pPr>
          </w:p>
          <w:p>
            <w:pPr>
              <w:jc w:val="center"/>
              <w:rPr>
                <w:kern w:val="0"/>
                <w:sz w:val="24"/>
                <w:szCs w:val="24"/>
              </w:rPr>
            </w:pPr>
          </w:p>
        </w:tc>
        <w:tc>
          <w:tcPr>
            <w:tcW w:w="1229" w:type="dxa"/>
            <w:vMerge w:val="restart"/>
            <w:tcBorders>
              <w:top w:val="single" w:color="000000" w:sz="6" w:space="0"/>
              <w:left w:val="nil"/>
              <w:right w:val="single" w:color="000000" w:sz="6" w:space="0"/>
            </w:tcBorders>
            <w:vAlign w:val="center"/>
          </w:tcPr>
          <w:p>
            <w:pPr>
              <w:widowControl/>
              <w:spacing w:line="528" w:lineRule="auto"/>
              <w:jc w:val="center"/>
              <w:rPr>
                <w:kern w:val="0"/>
                <w:sz w:val="24"/>
                <w:szCs w:val="24"/>
              </w:rPr>
            </w:pPr>
            <w:r>
              <w:rPr>
                <w:sz w:val="24"/>
                <w:szCs w:val="24"/>
              </w:rPr>
              <w:t>64.675</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王红娟</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155111061925</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李雪松</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155111110207</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张珂</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155131242114</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丁雨</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155132010424</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刘忻忆</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155139021221</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郝丽斌</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155139021326</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王瑜</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155139021813</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赵思如</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155139022002</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刘文斌</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155139023007</w:t>
            </w:r>
          </w:p>
        </w:tc>
        <w:tc>
          <w:tcPr>
            <w:tcW w:w="1495" w:type="dxa"/>
            <w:tcBorders>
              <w:top w:val="single" w:color="000000" w:sz="4" w:space="0"/>
              <w:left w:val="nil"/>
              <w:bottom w:val="single" w:color="000000" w:sz="4"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bottom w:val="single" w:color="000000" w:sz="6"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000000" w:sz="6"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宋友旭</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155142010606</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restart"/>
            <w:tcBorders>
              <w:top w:val="single" w:color="000000" w:sz="6" w:space="0"/>
              <w:right w:val="single" w:color="000000" w:sz="6" w:space="0"/>
            </w:tcBorders>
            <w:vAlign w:val="center"/>
          </w:tcPr>
          <w:p>
            <w:pPr>
              <w:jc w:val="center"/>
              <w:rPr>
                <w:kern w:val="0"/>
                <w:sz w:val="24"/>
                <w:szCs w:val="24"/>
              </w:rPr>
            </w:pPr>
            <w:r>
              <w:rPr>
                <w:kern w:val="0"/>
                <w:sz w:val="24"/>
                <w:szCs w:val="24"/>
              </w:rPr>
              <w:t>辖区市场法律类监管岗位主任科员及以下</w:t>
            </w:r>
            <w:r>
              <w:rPr>
                <w:sz w:val="24"/>
                <w:szCs w:val="24"/>
              </w:rPr>
              <w:t>（400142819001）</w:t>
            </w:r>
          </w:p>
        </w:tc>
        <w:tc>
          <w:tcPr>
            <w:tcW w:w="1229" w:type="dxa"/>
            <w:vMerge w:val="restart"/>
            <w:tcBorders>
              <w:top w:val="single" w:color="000000" w:sz="6" w:space="0"/>
              <w:left w:val="nil"/>
              <w:right w:val="single" w:color="000000" w:sz="6" w:space="0"/>
            </w:tcBorders>
            <w:vAlign w:val="center"/>
          </w:tcPr>
          <w:p>
            <w:pPr>
              <w:widowControl/>
              <w:spacing w:line="528" w:lineRule="auto"/>
              <w:jc w:val="center"/>
              <w:rPr>
                <w:kern w:val="0"/>
                <w:sz w:val="24"/>
                <w:szCs w:val="24"/>
              </w:rPr>
            </w:pPr>
            <w:r>
              <w:rPr>
                <w:sz w:val="24"/>
                <w:szCs w:val="24"/>
              </w:rPr>
              <w:t>60.925</w:t>
            </w:r>
          </w:p>
        </w:tc>
        <w:tc>
          <w:tcPr>
            <w:tcW w:w="1229" w:type="dxa"/>
            <w:tcBorders>
              <w:left w:val="nil"/>
              <w:right w:val="single" w:color="000000" w:sz="6" w:space="0"/>
            </w:tcBorders>
            <w:vAlign w:val="center"/>
          </w:tcPr>
          <w:p>
            <w:pPr>
              <w:jc w:val="center"/>
              <w:rPr>
                <w:color w:val="000000"/>
                <w:sz w:val="24"/>
                <w:szCs w:val="24"/>
              </w:rPr>
            </w:pPr>
            <w:r>
              <w:rPr>
                <w:color w:val="000000"/>
                <w:sz w:val="24"/>
                <w:szCs w:val="24"/>
              </w:rPr>
              <w:t>戴亚男</w:t>
            </w:r>
          </w:p>
        </w:tc>
        <w:tc>
          <w:tcPr>
            <w:tcW w:w="2149" w:type="dxa"/>
            <w:tcBorders>
              <w:left w:val="nil"/>
              <w:right w:val="single" w:color="000000" w:sz="6" w:space="0"/>
            </w:tcBorders>
            <w:vAlign w:val="center"/>
          </w:tcPr>
          <w:p>
            <w:pPr>
              <w:jc w:val="center"/>
              <w:rPr>
                <w:color w:val="000000"/>
                <w:sz w:val="24"/>
                <w:szCs w:val="24"/>
              </w:rPr>
            </w:pPr>
            <w:r>
              <w:rPr>
                <w:color w:val="000000"/>
                <w:sz w:val="24"/>
                <w:szCs w:val="24"/>
              </w:rPr>
              <w:t>155139020410</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李晓雯</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155139021317</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马雷</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155139021617</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陈丹丹</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155139021829</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cantSplit/>
          <w:trHeight w:val="567" w:hRule="atLeast"/>
          <w:jc w:val="center"/>
        </w:trPr>
        <w:tc>
          <w:tcPr>
            <w:tcW w:w="2420" w:type="dxa"/>
            <w:vMerge w:val="continue"/>
            <w:tcBorders>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王倩倩</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155139022910</w:t>
            </w:r>
          </w:p>
        </w:tc>
        <w:tc>
          <w:tcPr>
            <w:tcW w:w="1495" w:type="dxa"/>
            <w:tcBorders>
              <w:top w:val="single" w:color="000000" w:sz="4" w:space="0"/>
              <w:left w:val="nil"/>
              <w:bottom w:val="single" w:color="000000" w:sz="6" w:space="0"/>
            </w:tcBorders>
            <w:vAlign w:val="center"/>
          </w:tcPr>
          <w:p>
            <w:pPr>
              <w:widowControl/>
              <w:jc w:val="center"/>
              <w:rPr>
                <w:color w:val="000000"/>
                <w:sz w:val="24"/>
                <w:szCs w:val="24"/>
              </w:rPr>
            </w:pPr>
          </w:p>
        </w:tc>
      </w:tr>
    </w:tbl>
    <w:p>
      <w:pPr>
        <w:tabs>
          <w:tab w:val="right" w:pos="8306"/>
        </w:tabs>
        <w:autoSpaceDN w:val="0"/>
        <w:spacing w:line="360" w:lineRule="auto"/>
        <w:ind w:firstLine="640" w:firstLineChars="200"/>
        <w:rPr>
          <w:rFonts w:eastAsia="黑体"/>
          <w:color w:val="000000"/>
          <w:sz w:val="32"/>
        </w:rPr>
      </w:pPr>
      <w:r>
        <w:rPr>
          <w:rFonts w:hint="eastAsia" w:eastAsia="黑体"/>
          <w:color w:val="000000"/>
          <w:sz w:val="32"/>
        </w:rPr>
        <w:t>二、面试时间、地点</w:t>
      </w:r>
      <w:r>
        <w:rPr>
          <w:rFonts w:eastAsia="黑体"/>
          <w:color w:val="000000"/>
          <w:sz w:val="32"/>
        </w:rPr>
        <w:tab/>
      </w:r>
    </w:p>
    <w:p>
      <w:pPr>
        <w:autoSpaceDN w:val="0"/>
        <w:spacing w:line="360" w:lineRule="auto"/>
        <w:ind w:firstLine="640" w:firstLineChars="200"/>
        <w:rPr>
          <w:rFonts w:eastAsia="仿宋_GB2312"/>
          <w:sz w:val="32"/>
        </w:rPr>
      </w:pPr>
      <w:r>
        <w:rPr>
          <w:rFonts w:hint="eastAsia" w:hAnsi="仿宋_GB2312" w:eastAsia="仿宋_GB2312"/>
          <w:sz w:val="32"/>
        </w:rPr>
        <w:t>（一）时间：</w:t>
      </w:r>
      <w:r>
        <w:rPr>
          <w:rFonts w:eastAsia="仿宋_GB2312"/>
          <w:sz w:val="32"/>
        </w:rPr>
        <w:t>2018</w:t>
      </w:r>
      <w:r>
        <w:rPr>
          <w:rFonts w:hint="eastAsia" w:hAnsi="仿宋_GB2312" w:eastAsia="仿宋_GB2312"/>
          <w:sz w:val="32"/>
        </w:rPr>
        <w:t>年</w:t>
      </w:r>
      <w:r>
        <w:rPr>
          <w:rFonts w:eastAsia="仿宋_GB2312"/>
          <w:sz w:val="32"/>
        </w:rPr>
        <w:t>3</w:t>
      </w:r>
      <w:r>
        <w:rPr>
          <w:rFonts w:hint="eastAsia" w:hAnsi="仿宋_GB2312" w:eastAsia="仿宋_GB2312"/>
          <w:sz w:val="32"/>
        </w:rPr>
        <w:t>月</w:t>
      </w:r>
      <w:r>
        <w:rPr>
          <w:rFonts w:eastAsia="仿宋_GB2312"/>
          <w:sz w:val="32"/>
        </w:rPr>
        <w:t>10</w:t>
      </w:r>
      <w:r>
        <w:rPr>
          <w:rFonts w:hint="eastAsia" w:hAnsi="仿宋_GB2312" w:eastAsia="仿宋_GB2312"/>
          <w:sz w:val="32"/>
        </w:rPr>
        <w:t>日上午</w:t>
      </w:r>
      <w:r>
        <w:rPr>
          <w:rFonts w:eastAsia="仿宋_GB2312"/>
          <w:sz w:val="32"/>
        </w:rPr>
        <w:t>9:00</w:t>
      </w:r>
      <w:r>
        <w:rPr>
          <w:rFonts w:hint="eastAsia" w:hAnsi="仿宋_GB2312" w:eastAsia="仿宋_GB2312"/>
          <w:sz w:val="32"/>
        </w:rPr>
        <w:t>（周六）</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（二）地点：中国证监会</w:t>
      </w:r>
      <w:r>
        <w:rPr>
          <w:rFonts w:hint="eastAsia" w:eastAsia="仿宋_GB2312"/>
          <w:color w:val="000000"/>
          <w:sz w:val="32"/>
        </w:rPr>
        <w:t>山东</w:t>
      </w:r>
      <w:r>
        <w:rPr>
          <w:rFonts w:hint="eastAsia" w:hAnsi="仿宋_GB2312" w:eastAsia="仿宋_GB2312"/>
          <w:color w:val="000000"/>
          <w:sz w:val="32"/>
        </w:rPr>
        <w:t>监管局</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地址：</w:t>
      </w:r>
      <w:r>
        <w:rPr>
          <w:rFonts w:hint="eastAsia" w:eastAsia="仿宋_GB2312"/>
          <w:color w:val="000000"/>
          <w:kern w:val="0"/>
          <w:sz w:val="32"/>
        </w:rPr>
        <w:t>山东省济南市市中区经七路</w:t>
      </w:r>
      <w:r>
        <w:rPr>
          <w:rFonts w:eastAsia="仿宋_GB2312"/>
          <w:color w:val="000000"/>
          <w:kern w:val="0"/>
          <w:sz w:val="32"/>
        </w:rPr>
        <w:t>86</w:t>
      </w:r>
      <w:r>
        <w:rPr>
          <w:rFonts w:hint="eastAsia" w:eastAsia="仿宋_GB2312"/>
          <w:color w:val="000000"/>
          <w:kern w:val="0"/>
          <w:sz w:val="32"/>
        </w:rPr>
        <w:t>号证券大厦</w:t>
      </w:r>
      <w:r>
        <w:rPr>
          <w:rFonts w:eastAsia="仿宋_GB2312"/>
          <w:color w:val="000000"/>
          <w:kern w:val="0"/>
          <w:sz w:val="32"/>
        </w:rPr>
        <w:t>13</w:t>
      </w:r>
      <w:r>
        <w:rPr>
          <w:rFonts w:hint="eastAsia" w:eastAsia="仿宋_GB2312"/>
          <w:color w:val="000000"/>
          <w:kern w:val="0"/>
          <w:sz w:val="32"/>
        </w:rPr>
        <w:t>层</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联系电话：</w:t>
      </w:r>
      <w:r>
        <w:rPr>
          <w:rFonts w:eastAsia="仿宋_GB2312"/>
          <w:color w:val="000000"/>
          <w:kern w:val="0"/>
          <w:sz w:val="32"/>
        </w:rPr>
        <w:t>0531-86131796</w:t>
      </w:r>
    </w:p>
    <w:p>
      <w:pPr>
        <w:autoSpaceDN w:val="0"/>
        <w:spacing w:line="360" w:lineRule="auto"/>
        <w:ind w:firstLine="640" w:firstLineChars="200"/>
        <w:rPr>
          <w:rFonts w:eastAsia="黑体"/>
          <w:color w:val="000000"/>
          <w:sz w:val="32"/>
        </w:rPr>
      </w:pPr>
      <w:r>
        <w:rPr>
          <w:rFonts w:hint="eastAsia" w:eastAsia="黑体"/>
          <w:color w:val="000000"/>
          <w:sz w:val="32"/>
        </w:rPr>
        <w:t>三、面试具体要求</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（一）参加面试的考生须携带以下材料：</w:t>
      </w:r>
    </w:p>
    <w:p>
      <w:pPr>
        <w:autoSpaceDN w:val="0"/>
        <w:spacing w:line="360" w:lineRule="auto"/>
        <w:ind w:firstLine="640" w:firstLineChars="200"/>
        <w:rPr>
          <w:rFonts w:eastAsia="仿宋_GB2312"/>
          <w:color w:val="000000"/>
          <w:sz w:val="32"/>
        </w:rPr>
      </w:pPr>
      <w:r>
        <w:rPr>
          <w:rFonts w:eastAsia="仿宋_GB2312"/>
          <w:color w:val="000000"/>
          <w:sz w:val="32"/>
        </w:rPr>
        <w:t xml:space="preserve">1. </w:t>
      </w:r>
      <w:r>
        <w:rPr>
          <w:rFonts w:hint="eastAsia" w:hAnsi="仿宋_GB2312" w:eastAsia="仿宋_GB2312"/>
          <w:color w:val="000000"/>
          <w:sz w:val="32"/>
        </w:rPr>
        <w:t>本人身份证原件；</w:t>
      </w:r>
    </w:p>
    <w:p>
      <w:pP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hint="eastAsia" w:hAnsi="仿宋_GB2312" w:eastAsia="仿宋_GB2312"/>
          <w:sz w:val="32"/>
        </w:rPr>
        <w:t>公共科目笔试准考证原件</w:t>
      </w:r>
      <w:r>
        <w:rPr>
          <w:rFonts w:hint="eastAsia" w:hAnsi="仿宋_GB2312" w:eastAsia="仿宋_GB2312"/>
          <w:color w:val="000000"/>
          <w:sz w:val="32"/>
        </w:rPr>
        <w:t>；</w:t>
      </w:r>
    </w:p>
    <w:p>
      <w:pPr>
        <w:autoSpaceDN w:val="0"/>
        <w:spacing w:line="360" w:lineRule="auto"/>
        <w:ind w:firstLine="640" w:firstLineChars="200"/>
        <w:rPr>
          <w:rFonts w:eastAsia="仿宋_GB2312"/>
          <w:color w:val="000000"/>
          <w:sz w:val="30"/>
        </w:rPr>
      </w:pPr>
      <w:r>
        <w:rPr>
          <w:rFonts w:eastAsia="仿宋_GB2312"/>
          <w:color w:val="000000"/>
          <w:sz w:val="32"/>
        </w:rPr>
        <w:t xml:space="preserve">3. </w:t>
      </w:r>
      <w:r>
        <w:rPr>
          <w:rFonts w:hint="eastAsia" w:hAnsi="仿宋_GB2312" w:eastAsia="仿宋_GB2312"/>
          <w:color w:val="000000"/>
          <w:sz w:val="32"/>
        </w:rPr>
        <w:t>考试报名登记表（</w:t>
      </w:r>
      <w:r>
        <w:rPr>
          <w:rFonts w:hint="eastAsia" w:hAnsi="仿宋_GB2312" w:eastAsia="仿宋_GB2312"/>
          <w:sz w:val="32"/>
        </w:rPr>
        <w:t>贴好照片，如实、详细填写个人学习、工作经历，时间必须连续，并注明各学习阶段是否在职学习，取得何种学历和学位</w:t>
      </w:r>
      <w:r>
        <w:rPr>
          <w:rFonts w:hint="eastAsia" w:hAnsi="仿宋_GB2312" w:eastAsia="仿宋_GB2312"/>
          <w:color w:val="000000"/>
          <w:sz w:val="32"/>
        </w:rPr>
        <w:t>）；</w:t>
      </w:r>
    </w:p>
    <w:p>
      <w:pPr>
        <w:autoSpaceDN w:val="0"/>
        <w:spacing w:line="360" w:lineRule="auto"/>
        <w:ind w:firstLine="640" w:firstLineChars="200"/>
        <w:rPr>
          <w:rFonts w:eastAsia="仿宋_GB2312"/>
          <w:sz w:val="32"/>
          <w:szCs w:val="32"/>
        </w:rPr>
      </w:pPr>
      <w:r>
        <w:rPr>
          <w:rFonts w:eastAsia="仿宋_GB2312"/>
          <w:color w:val="000000"/>
          <w:sz w:val="32"/>
        </w:rPr>
        <w:t xml:space="preserve">4. </w:t>
      </w:r>
      <w:r>
        <w:rPr>
          <w:rFonts w:hint="eastAsia" w:eastAsia="仿宋_GB2312"/>
          <w:sz w:val="32"/>
          <w:szCs w:val="32"/>
        </w:rPr>
        <w:t>本（专）科、研究生各阶段学历、学位证书原件；</w:t>
      </w:r>
    </w:p>
    <w:p>
      <w:pPr>
        <w:autoSpaceDN w:val="0"/>
        <w:spacing w:line="360" w:lineRule="auto"/>
        <w:ind w:firstLine="640" w:firstLineChars="200"/>
        <w:rPr>
          <w:rFonts w:eastAsia="仿宋_GB2312"/>
          <w:color w:val="000000"/>
          <w:sz w:val="32"/>
        </w:rPr>
      </w:pPr>
      <w:r>
        <w:rPr>
          <w:rFonts w:hAnsi="仿宋_GB2312" w:eastAsia="仿宋_GB2312"/>
          <w:color w:val="000000"/>
          <w:sz w:val="32"/>
        </w:rPr>
        <w:t xml:space="preserve">5. </w:t>
      </w:r>
      <w:r>
        <w:rPr>
          <w:rFonts w:hint="eastAsia" w:hAnsi="仿宋_GB2312" w:eastAsia="仿宋_GB2312"/>
          <w:color w:val="000000"/>
          <w:sz w:val="32"/>
        </w:rPr>
        <w:t>相关专业资格证书原件（根据填写报名表信息提供）；</w:t>
      </w:r>
    </w:p>
    <w:p>
      <w:pPr>
        <w:autoSpaceDN w:val="0"/>
        <w:spacing w:line="360" w:lineRule="auto"/>
        <w:ind w:firstLine="640" w:firstLineChars="200"/>
        <w:rPr>
          <w:rFonts w:hAnsi="仿宋_GB2312" w:eastAsia="仿宋_GB2312"/>
          <w:sz w:val="32"/>
        </w:rPr>
      </w:pPr>
      <w:r>
        <w:rPr>
          <w:rFonts w:hAnsi="仿宋_GB2312" w:eastAsia="仿宋_GB2312"/>
          <w:sz w:val="32"/>
        </w:rPr>
        <w:t xml:space="preserve">6. </w:t>
      </w:r>
      <w:r>
        <w:rPr>
          <w:rFonts w:hint="eastAsia" w:hAnsi="仿宋_GB2312" w:eastAsia="仿宋_GB2312"/>
          <w:sz w:val="32"/>
        </w:rPr>
        <w:t>所获各种奖励证书原件；</w:t>
      </w:r>
    </w:p>
    <w:p>
      <w:pPr>
        <w:autoSpaceDN w:val="0"/>
        <w:spacing w:line="360" w:lineRule="auto"/>
        <w:ind w:firstLine="640" w:firstLineChars="200"/>
        <w:rPr>
          <w:rFonts w:hAnsi="仿宋_GB2312" w:eastAsia="仿宋_GB2312"/>
          <w:sz w:val="32"/>
        </w:rPr>
      </w:pPr>
      <w:r>
        <w:rPr>
          <w:rFonts w:hAnsi="仿宋_GB2312" w:eastAsia="仿宋_GB2312"/>
          <w:sz w:val="32"/>
        </w:rPr>
        <w:t xml:space="preserve">7. </w:t>
      </w:r>
      <w:r>
        <w:rPr>
          <w:rFonts w:hint="eastAsia" w:hAnsi="仿宋_GB2312" w:eastAsia="仿宋_GB2312"/>
          <w:sz w:val="32"/>
        </w:rPr>
        <w:t>除上述材料外，考生需按照身份类别，准备以下材料：</w:t>
      </w:r>
    </w:p>
    <w:p>
      <w:pPr>
        <w:spacing w:line="360" w:lineRule="auto"/>
        <w:ind w:firstLine="643" w:firstLineChars="200"/>
        <w:rPr>
          <w:rFonts w:eastAsia="仿宋_GB2312"/>
          <w:sz w:val="32"/>
          <w:szCs w:val="32"/>
        </w:rPr>
      </w:pPr>
      <w:r>
        <w:rPr>
          <w:rFonts w:hint="eastAsia" w:eastAsia="仿宋_GB2312"/>
          <w:b/>
          <w:bCs/>
          <w:sz w:val="32"/>
          <w:szCs w:val="32"/>
        </w:rPr>
        <w:t>应届毕业生</w:t>
      </w:r>
      <w:r>
        <w:rPr>
          <w:rFonts w:hint="eastAsia"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hint="eastAsia" w:eastAsia="仿宋_GB2312"/>
          <w:b/>
          <w:bCs/>
          <w:sz w:val="32"/>
          <w:szCs w:val="32"/>
        </w:rPr>
        <w:t>社会在职人员</w:t>
      </w:r>
      <w:r>
        <w:rPr>
          <w:rFonts w:hint="eastAsia" w:eastAsia="仿宋_GB2312"/>
          <w:sz w:val="32"/>
          <w:szCs w:val="32"/>
        </w:rPr>
        <w:t>携带工作证（或在职证明）和所在单位人事部门出具的同意报考证明</w:t>
      </w:r>
      <w:r>
        <w:rPr>
          <w:rFonts w:hint="eastAsia" w:ascii="仿宋_GB2312" w:hAnsi="仿宋_GB2312" w:eastAsia="仿宋_GB2312"/>
          <w:sz w:val="32"/>
          <w:shd w:val="clear" w:color="auto" w:fill="FFFFFF"/>
        </w:rPr>
        <w:t>（详见附件）</w:t>
      </w:r>
      <w:r>
        <w:rPr>
          <w:rFonts w:hint="eastAsia" w:eastAsia="仿宋_GB2312"/>
          <w:sz w:val="32"/>
          <w:szCs w:val="32"/>
        </w:rPr>
        <w:t>，同意报考证明中需注明考生政治面貌，工作单位详细名称、地址，单位人事部门联系人和办公电话。现工作单位与报名时填写单位不一致的，还需提供离职证明。</w:t>
      </w:r>
      <w:r>
        <w:rPr>
          <w:rFonts w:hint="eastAsia" w:hAnsi="仿宋_GB2312"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hint="eastAsia" w:eastAsia="仿宋_GB2312"/>
          <w:b/>
          <w:bCs/>
          <w:sz w:val="32"/>
          <w:szCs w:val="32"/>
        </w:rPr>
        <w:t>留学回国人员</w:t>
      </w:r>
      <w:r>
        <w:rPr>
          <w:rFonts w:hint="eastAsia"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hint="eastAsia" w:eastAsia="仿宋_GB2312"/>
          <w:b/>
          <w:bCs/>
          <w:sz w:val="32"/>
          <w:szCs w:val="32"/>
        </w:rPr>
        <w:t>待业人员</w:t>
      </w:r>
      <w:r>
        <w:rPr>
          <w:rFonts w:hint="eastAsia" w:eastAsia="仿宋_GB2312"/>
          <w:sz w:val="32"/>
          <w:szCs w:val="32"/>
        </w:rPr>
        <w:t>携带所在街道或存档人才中心出具的待业证明</w:t>
      </w:r>
      <w:r>
        <w:rPr>
          <w:rFonts w:hint="eastAsia" w:ascii="仿宋_GB2312" w:hAnsi="仿宋_GB2312" w:eastAsia="仿宋_GB2312"/>
          <w:sz w:val="32"/>
          <w:shd w:val="clear" w:color="auto" w:fill="FFFFFF"/>
        </w:rPr>
        <w:t>（详见附件）</w:t>
      </w:r>
      <w:r>
        <w:rPr>
          <w:rFonts w:hint="eastAsia" w:eastAsia="仿宋_GB2312"/>
          <w:sz w:val="32"/>
          <w:szCs w:val="32"/>
        </w:rPr>
        <w:t>，需注明考生政治面貌和出具证明单位联系人和办公电话。</w:t>
      </w:r>
    </w:p>
    <w:p>
      <w:pPr>
        <w:autoSpaceDN w:val="0"/>
        <w:spacing w:line="360" w:lineRule="auto"/>
        <w:ind w:firstLine="640" w:firstLineChars="200"/>
        <w:rPr>
          <w:rFonts w:eastAsia="仿宋_GB2312"/>
          <w:color w:val="000000"/>
          <w:sz w:val="32"/>
        </w:rPr>
      </w:pPr>
      <w:r>
        <w:rPr>
          <w:rFonts w:eastAsia="仿宋_GB2312"/>
          <w:color w:val="000000"/>
          <w:sz w:val="32"/>
        </w:rPr>
        <w:t xml:space="preserve">8. </w:t>
      </w:r>
      <w:r>
        <w:rPr>
          <w:rFonts w:hint="eastAsia" w:hAnsi="仿宋_GB2312" w:eastAsia="仿宋_GB2312"/>
          <w:color w:val="000000"/>
          <w:sz w:val="32"/>
        </w:rPr>
        <w:t>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（二）凡参加面试考生请于面试当日</w:t>
      </w:r>
      <w:r>
        <w:rPr>
          <w:rFonts w:eastAsia="仿宋_GB2312"/>
          <w:color w:val="000000"/>
          <w:sz w:val="32"/>
        </w:rPr>
        <w:t>8:30</w:t>
      </w:r>
      <w:r>
        <w:rPr>
          <w:rFonts w:hint="eastAsia" w:hAnsi="仿宋_GB2312" w:eastAsia="仿宋_GB2312"/>
          <w:color w:val="000000"/>
          <w:sz w:val="32"/>
        </w:rPr>
        <w:t>准时报到，进行资格复审和面试顺序抽签。</w:t>
      </w:r>
      <w:r>
        <w:rPr>
          <w:rFonts w:hint="eastAsia" w:hAnsi="仿宋_GB2312" w:eastAsia="仿宋_GB2312"/>
          <w:b/>
          <w:color w:val="000000"/>
          <w:sz w:val="32"/>
        </w:rPr>
        <w:t>截至</w:t>
      </w:r>
      <w:r>
        <w:rPr>
          <w:rFonts w:eastAsia="仿宋_GB2312"/>
          <w:b/>
          <w:color w:val="000000"/>
          <w:sz w:val="32"/>
        </w:rPr>
        <w:t>8:30</w:t>
      </w:r>
      <w:r>
        <w:rPr>
          <w:rFonts w:hint="eastAsia" w:hAnsi="仿宋_GB2312" w:eastAsia="仿宋_GB2312"/>
          <w:b/>
          <w:color w:val="000000"/>
          <w:sz w:val="32"/>
        </w:rPr>
        <w:t>没有进入候考室的考生，取消面试资格，请考生确保联系电话畅通。</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（三）考生应对本人报考信息的真实性负责，凡不符合报考资格条件、有关主要信息不实、弄虚作假的考生，一经查实即取消面试和录用资格，并将有关情况记录在案。</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（四）考生参加面试期间的食宿、交通费用由考生自理，请考生安排好行程，并注意安全。</w:t>
      </w:r>
    </w:p>
    <w:p>
      <w:pPr>
        <w:autoSpaceDN w:val="0"/>
        <w:spacing w:line="360" w:lineRule="auto"/>
        <w:ind w:firstLine="640" w:firstLineChars="200"/>
        <w:rPr>
          <w:rFonts w:eastAsia="黑体"/>
          <w:color w:val="000000"/>
          <w:sz w:val="32"/>
        </w:rPr>
      </w:pPr>
      <w:r>
        <w:rPr>
          <w:rFonts w:hint="eastAsia" w:eastAsia="黑体"/>
          <w:color w:val="000000"/>
          <w:sz w:val="32"/>
        </w:rPr>
        <w:t>四、乘车路线</w:t>
      </w:r>
    </w:p>
    <w:p>
      <w:pPr>
        <w:widowControl/>
        <w:snapToGrid w:val="0"/>
        <w:spacing w:line="360" w:lineRule="auto"/>
        <w:ind w:firstLine="640" w:firstLineChars="200"/>
        <w:jc w:val="left"/>
        <w:rPr>
          <w:rFonts w:ascii="仿宋_GB2312" w:eastAsia="仿宋_GB2312"/>
          <w:color w:val="000000"/>
          <w:sz w:val="32"/>
          <w:szCs w:val="32"/>
        </w:rPr>
      </w:pPr>
      <w:r>
        <w:rPr>
          <w:rFonts w:hint="eastAsia" w:ascii="仿宋_GB2312" w:hAnsi="仿宋_GB2312" w:eastAsia="仿宋_GB2312"/>
          <w:color w:val="000000"/>
          <w:sz w:val="32"/>
        </w:rPr>
        <w:t>（一）飞机：</w:t>
      </w:r>
      <w:r>
        <w:rPr>
          <w:rFonts w:ascii="仿宋_GB2312" w:eastAsia="仿宋_GB2312"/>
          <w:color w:val="000000"/>
          <w:sz w:val="32"/>
          <w:szCs w:val="32"/>
        </w:rPr>
        <w:t>济南遥墙机场</w:t>
      </w:r>
      <w:r>
        <w:rPr>
          <w:rFonts w:hint="eastAsia" w:ascii="仿宋_GB2312" w:eastAsia="仿宋_GB2312"/>
          <w:color w:val="000000"/>
          <w:sz w:val="32"/>
          <w:szCs w:val="32"/>
        </w:rPr>
        <w:t>。</w:t>
      </w:r>
    </w:p>
    <w:p>
      <w:pPr>
        <w:widowControl/>
        <w:snapToGrid w:val="0"/>
        <w:spacing w:line="360" w:lineRule="auto"/>
        <w:ind w:firstLine="640" w:firstLineChars="200"/>
        <w:jc w:val="left"/>
        <w:rPr>
          <w:rFonts w:eastAsia="仿宋_GB2312"/>
          <w:color w:val="000000"/>
          <w:sz w:val="32"/>
          <w:szCs w:val="32"/>
        </w:rPr>
      </w:pPr>
      <w:r>
        <w:rPr>
          <w:rFonts w:eastAsia="仿宋_GB2312"/>
          <w:color w:val="000000"/>
          <w:sz w:val="32"/>
          <w:szCs w:val="32"/>
        </w:rPr>
        <w:t>1.18:30之前到达的，乘坐机场巴士在火车站广场汽车站下车后，乘坐34路公交车到经七纬一站下车。</w:t>
      </w:r>
    </w:p>
    <w:p>
      <w:pPr>
        <w:widowControl/>
        <w:snapToGrid w:val="0"/>
        <w:spacing w:line="360" w:lineRule="auto"/>
        <w:ind w:firstLine="640" w:firstLineChars="200"/>
        <w:jc w:val="left"/>
        <w:rPr>
          <w:rFonts w:eastAsia="仿宋_GB2312"/>
          <w:color w:val="000000"/>
          <w:sz w:val="32"/>
          <w:szCs w:val="32"/>
        </w:rPr>
      </w:pPr>
      <w:r>
        <w:rPr>
          <w:rFonts w:eastAsia="仿宋_GB2312"/>
          <w:color w:val="000000"/>
          <w:sz w:val="32"/>
          <w:szCs w:val="32"/>
        </w:rPr>
        <w:t>2. 18:30之后到达的，乘坐机场巴士在玉泉森信大酒店站点下车，乘坐49路、102路或K96路公交车到经七纬二（市房地产大厦）站下车。</w:t>
      </w:r>
    </w:p>
    <w:p>
      <w:pPr>
        <w:widowControl/>
        <w:snapToGrid w:val="0"/>
        <w:spacing w:line="360" w:lineRule="auto"/>
        <w:ind w:firstLine="640" w:firstLineChars="200"/>
        <w:jc w:val="left"/>
        <w:rPr>
          <w:rFonts w:ascii="仿宋_GB2312" w:hAnsi="仿宋_GB2312" w:eastAsia="仿宋_GB2312"/>
          <w:color w:val="000000"/>
          <w:sz w:val="32"/>
        </w:rPr>
      </w:pPr>
      <w:r>
        <w:rPr>
          <w:rFonts w:hint="eastAsia" w:ascii="仿宋_GB2312" w:hAnsi="仿宋_GB2312" w:eastAsia="仿宋_GB2312"/>
          <w:color w:val="000000"/>
          <w:sz w:val="32"/>
        </w:rPr>
        <w:t>（二）火车：</w:t>
      </w:r>
    </w:p>
    <w:p>
      <w:pPr>
        <w:widowControl/>
        <w:snapToGrid w:val="0"/>
        <w:spacing w:line="360" w:lineRule="auto"/>
        <w:ind w:firstLine="640" w:firstLineChars="200"/>
        <w:jc w:val="left"/>
        <w:rPr>
          <w:rFonts w:eastAsia="仿宋_GB2312"/>
          <w:color w:val="000000"/>
          <w:kern w:val="0"/>
          <w:sz w:val="32"/>
          <w:szCs w:val="32"/>
        </w:rPr>
      </w:pPr>
      <w:r>
        <w:rPr>
          <w:rFonts w:hint="eastAsia" w:eastAsia="仿宋_GB2312"/>
          <w:color w:val="000000"/>
          <w:kern w:val="0"/>
          <w:sz w:val="32"/>
          <w:szCs w:val="32"/>
        </w:rPr>
        <w:t>济南火车站</w:t>
      </w:r>
      <w:r>
        <w:rPr>
          <w:rFonts w:hint="eastAsia" w:ascii="仿宋_GB2312" w:hAnsi="仿宋_GB2312" w:eastAsia="仿宋_GB2312"/>
          <w:color w:val="000000"/>
          <w:sz w:val="32"/>
        </w:rPr>
        <w:t>：</w:t>
      </w:r>
      <w:r>
        <w:rPr>
          <w:rFonts w:hint="eastAsia" w:eastAsia="仿宋_GB2312"/>
          <w:color w:val="000000"/>
          <w:kern w:val="0"/>
          <w:sz w:val="32"/>
          <w:szCs w:val="32"/>
        </w:rPr>
        <w:t>乘坐</w:t>
      </w:r>
      <w:r>
        <w:rPr>
          <w:rFonts w:eastAsia="仿宋_GB2312"/>
          <w:color w:val="000000"/>
          <w:kern w:val="0"/>
          <w:sz w:val="32"/>
          <w:szCs w:val="32"/>
        </w:rPr>
        <w:t>34</w:t>
      </w:r>
      <w:r>
        <w:rPr>
          <w:rFonts w:hint="eastAsia" w:eastAsia="仿宋_GB2312"/>
          <w:color w:val="000000"/>
          <w:kern w:val="0"/>
          <w:sz w:val="32"/>
          <w:szCs w:val="32"/>
        </w:rPr>
        <w:t>路公交车到经七纬一站下车。</w:t>
      </w:r>
    </w:p>
    <w:p>
      <w:pPr>
        <w:widowControl/>
        <w:snapToGrid w:val="0"/>
        <w:spacing w:line="360" w:lineRule="auto"/>
        <w:ind w:firstLine="640" w:firstLineChars="200"/>
        <w:jc w:val="left"/>
        <w:rPr>
          <w:rFonts w:ascii="仿宋_GB2312" w:hAnsi="仿宋_GB2312" w:eastAsia="仿宋_GB2312"/>
          <w:color w:val="000000"/>
          <w:sz w:val="32"/>
        </w:rPr>
      </w:pPr>
      <w:r>
        <w:rPr>
          <w:rFonts w:hint="eastAsia" w:eastAsia="仿宋_GB2312"/>
          <w:color w:val="000000"/>
          <w:kern w:val="0"/>
          <w:sz w:val="32"/>
          <w:szCs w:val="32"/>
        </w:rPr>
        <w:t>济南西站</w:t>
      </w:r>
      <w:r>
        <w:rPr>
          <w:rFonts w:hint="eastAsia" w:ascii="仿宋_GB2312" w:hAnsi="仿宋_GB2312" w:eastAsia="仿宋_GB2312"/>
          <w:color w:val="000000"/>
          <w:sz w:val="32"/>
        </w:rPr>
        <w:t>：</w:t>
      </w:r>
    </w:p>
    <w:p>
      <w:pPr>
        <w:widowControl/>
        <w:numPr>
          <w:ilvl w:val="0"/>
          <w:numId w:val="1"/>
        </w:numPr>
        <w:snapToGrid w:val="0"/>
        <w:spacing w:line="360" w:lineRule="auto"/>
        <w:ind w:firstLine="640" w:firstLineChars="200"/>
        <w:jc w:val="left"/>
        <w:rPr>
          <w:rFonts w:eastAsia="仿宋_GB2312"/>
          <w:color w:val="000000"/>
          <w:kern w:val="0"/>
          <w:sz w:val="32"/>
          <w:szCs w:val="32"/>
        </w:rPr>
      </w:pPr>
      <w:r>
        <w:rPr>
          <w:rFonts w:hint="eastAsia" w:eastAsia="仿宋_GB2312"/>
          <w:color w:val="000000"/>
          <w:kern w:val="0"/>
          <w:sz w:val="32"/>
          <w:szCs w:val="32"/>
        </w:rPr>
        <w:t>乘坐</w:t>
      </w:r>
      <w:r>
        <w:rPr>
          <w:rFonts w:eastAsia="仿宋_GB2312"/>
          <w:color w:val="000000"/>
          <w:kern w:val="0"/>
          <w:sz w:val="32"/>
          <w:szCs w:val="32"/>
        </w:rPr>
        <w:t>K156</w:t>
      </w:r>
      <w:r>
        <w:rPr>
          <w:rFonts w:hint="eastAsia" w:eastAsia="仿宋_GB2312"/>
          <w:color w:val="000000"/>
          <w:kern w:val="0"/>
          <w:sz w:val="32"/>
          <w:szCs w:val="32"/>
        </w:rPr>
        <w:t>路公交车到济南火车站下车后，乘坐</w:t>
      </w:r>
      <w:r>
        <w:rPr>
          <w:rFonts w:eastAsia="仿宋_GB2312"/>
          <w:color w:val="000000"/>
          <w:kern w:val="0"/>
          <w:sz w:val="32"/>
          <w:szCs w:val="32"/>
        </w:rPr>
        <w:t>34</w:t>
      </w:r>
      <w:r>
        <w:rPr>
          <w:rFonts w:hint="eastAsia" w:eastAsia="仿宋_GB2312"/>
          <w:color w:val="000000"/>
          <w:kern w:val="0"/>
          <w:sz w:val="32"/>
          <w:szCs w:val="32"/>
        </w:rPr>
        <w:t>路公交车到经七纬一站下车。</w:t>
      </w:r>
    </w:p>
    <w:p>
      <w:pPr>
        <w:widowControl/>
        <w:numPr>
          <w:ilvl w:val="0"/>
          <w:numId w:val="1"/>
        </w:numPr>
        <w:snapToGrid w:val="0"/>
        <w:spacing w:line="360" w:lineRule="auto"/>
        <w:ind w:firstLine="640" w:firstLineChars="200"/>
        <w:jc w:val="left"/>
        <w:rPr>
          <w:rFonts w:eastAsia="仿宋_GB2312"/>
          <w:color w:val="000000"/>
          <w:kern w:val="0"/>
          <w:sz w:val="32"/>
          <w:szCs w:val="32"/>
        </w:rPr>
      </w:pPr>
      <w:r>
        <w:rPr>
          <w:rFonts w:hint="eastAsia" w:eastAsia="仿宋_GB2312"/>
          <w:color w:val="000000"/>
          <w:kern w:val="0"/>
          <w:sz w:val="32"/>
          <w:szCs w:val="32"/>
        </w:rPr>
        <w:t>乘坐</w:t>
      </w:r>
      <w:r>
        <w:rPr>
          <w:rFonts w:eastAsia="仿宋_GB2312"/>
          <w:color w:val="000000"/>
          <w:kern w:val="0"/>
          <w:sz w:val="32"/>
          <w:szCs w:val="32"/>
        </w:rPr>
        <w:t>K109</w:t>
      </w:r>
      <w:r>
        <w:rPr>
          <w:rFonts w:hint="eastAsia" w:eastAsia="仿宋_GB2312"/>
          <w:color w:val="000000"/>
          <w:kern w:val="0"/>
          <w:sz w:val="32"/>
          <w:szCs w:val="32"/>
        </w:rPr>
        <w:t>路公交车到经十纬一站下车后步行约</w:t>
      </w:r>
      <w:r>
        <w:rPr>
          <w:rFonts w:eastAsia="仿宋_GB2312"/>
          <w:color w:val="000000"/>
          <w:kern w:val="0"/>
          <w:sz w:val="32"/>
          <w:szCs w:val="32"/>
        </w:rPr>
        <w:t>600</w:t>
      </w:r>
      <w:r>
        <w:rPr>
          <w:rFonts w:hint="eastAsia" w:eastAsia="仿宋_GB2312"/>
          <w:color w:val="000000"/>
          <w:kern w:val="0"/>
          <w:sz w:val="32"/>
          <w:szCs w:val="32"/>
        </w:rPr>
        <w:t>米到达。</w:t>
      </w:r>
    </w:p>
    <w:p>
      <w:pPr>
        <w:widowControl/>
        <w:snapToGrid w:val="0"/>
        <w:spacing w:line="360" w:lineRule="auto"/>
        <w:ind w:firstLine="640" w:firstLineChars="200"/>
        <w:jc w:val="left"/>
        <w:rPr>
          <w:rFonts w:ascii="仿宋_GB2312" w:hAnsi="仿宋_GB2312" w:eastAsia="仿宋_GB2312"/>
          <w:color w:val="000000"/>
          <w:sz w:val="32"/>
        </w:rPr>
      </w:pPr>
      <w:r>
        <w:rPr>
          <w:rFonts w:hint="eastAsia" w:eastAsia="仿宋_GB2312"/>
          <w:color w:val="000000"/>
          <w:kern w:val="0"/>
          <w:sz w:val="32"/>
          <w:szCs w:val="32"/>
        </w:rPr>
        <w:t>（三）长途汽车：济南长途汽车总站，乘坐</w:t>
      </w:r>
      <w:r>
        <w:rPr>
          <w:rFonts w:eastAsia="仿宋_GB2312"/>
          <w:color w:val="000000"/>
          <w:kern w:val="0"/>
          <w:sz w:val="32"/>
          <w:szCs w:val="32"/>
        </w:rPr>
        <w:t>4</w:t>
      </w:r>
      <w:r>
        <w:rPr>
          <w:rFonts w:hint="eastAsia" w:eastAsia="仿宋_GB2312"/>
          <w:color w:val="000000"/>
          <w:kern w:val="0"/>
          <w:sz w:val="32"/>
          <w:szCs w:val="32"/>
        </w:rPr>
        <w:t>路、</w:t>
      </w:r>
      <w:r>
        <w:rPr>
          <w:rFonts w:eastAsia="仿宋_GB2312"/>
          <w:color w:val="000000"/>
          <w:kern w:val="0"/>
          <w:sz w:val="32"/>
          <w:szCs w:val="32"/>
        </w:rPr>
        <w:t>35</w:t>
      </w:r>
      <w:r>
        <w:rPr>
          <w:rFonts w:hint="eastAsia" w:eastAsia="仿宋_GB2312"/>
          <w:color w:val="000000"/>
          <w:kern w:val="0"/>
          <w:sz w:val="32"/>
          <w:szCs w:val="32"/>
        </w:rPr>
        <w:t>路公交车到经七纬二站下车。</w:t>
      </w:r>
    </w:p>
    <w:p>
      <w:pPr>
        <w:autoSpaceDN w:val="0"/>
        <w:spacing w:line="360" w:lineRule="auto"/>
        <w:ind w:firstLine="640" w:firstLineChars="200"/>
        <w:rPr>
          <w:rFonts w:eastAsia="黑体"/>
          <w:color w:val="000000"/>
          <w:sz w:val="32"/>
        </w:rPr>
      </w:pPr>
      <w:r>
        <w:rPr>
          <w:rFonts w:hint="eastAsia" w:eastAsia="黑体"/>
          <w:color w:val="000000"/>
          <w:sz w:val="32"/>
        </w:rPr>
        <w:t>五、联系人及联系电话</w:t>
      </w:r>
    </w:p>
    <w:p>
      <w:pPr>
        <w:autoSpaceDN w:val="0"/>
        <w:spacing w:line="360" w:lineRule="auto"/>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联系人：</w:t>
      </w:r>
      <w:r>
        <w:rPr>
          <w:rFonts w:hint="eastAsia" w:eastAsia="仿宋_GB2312"/>
          <w:color w:val="000000"/>
          <w:kern w:val="0"/>
          <w:sz w:val="32"/>
        </w:rPr>
        <w:t>王颖</w:t>
      </w:r>
    </w:p>
    <w:p>
      <w:pPr>
        <w:widowControl/>
        <w:snapToGrid w:val="0"/>
        <w:spacing w:line="360" w:lineRule="auto"/>
        <w:ind w:firstLine="640" w:firstLineChars="200"/>
        <w:jc w:val="left"/>
        <w:rPr>
          <w:rFonts w:eastAsia="仿宋_GB2312"/>
          <w:color w:val="000000"/>
          <w:kern w:val="0"/>
          <w:sz w:val="32"/>
        </w:rPr>
      </w:pPr>
      <w:r>
        <w:rPr>
          <w:rFonts w:hint="eastAsia" w:ascii="仿宋_GB2312" w:hAnsi="仿宋_GB2312" w:eastAsia="仿宋_GB2312"/>
          <w:color w:val="000000"/>
          <w:sz w:val="32"/>
        </w:rPr>
        <w:t>联系电话：</w:t>
      </w:r>
      <w:r>
        <w:rPr>
          <w:rFonts w:eastAsia="仿宋_GB2312"/>
          <w:color w:val="000000"/>
          <w:kern w:val="0"/>
          <w:sz w:val="32"/>
        </w:rPr>
        <w:t>0531-86131796</w:t>
      </w:r>
    </w:p>
    <w:p>
      <w:pPr>
        <w:widowControl/>
        <w:snapToGrid w:val="0"/>
        <w:spacing w:line="360" w:lineRule="auto"/>
        <w:ind w:firstLine="640" w:firstLineChars="200"/>
        <w:jc w:val="left"/>
        <w:rPr>
          <w:rFonts w:eastAsia="仿宋_GB2312"/>
          <w:color w:val="000000"/>
          <w:kern w:val="0"/>
          <w:sz w:val="32"/>
        </w:rPr>
      </w:pPr>
      <w:r>
        <w:rPr>
          <w:rFonts w:hint="eastAsia" w:eastAsia="仿宋_GB2312"/>
          <w:color w:val="000000"/>
          <w:kern w:val="0"/>
          <w:sz w:val="32"/>
        </w:rPr>
        <w:t>（工作时间：</w:t>
      </w:r>
      <w:r>
        <w:rPr>
          <w:rFonts w:eastAsia="仿宋_GB2312"/>
          <w:color w:val="000000"/>
          <w:kern w:val="0"/>
          <w:sz w:val="32"/>
        </w:rPr>
        <w:t>8:30-12:00</w:t>
      </w:r>
      <w:r>
        <w:rPr>
          <w:rFonts w:hint="eastAsia" w:eastAsia="仿宋_GB2312"/>
          <w:color w:val="000000"/>
          <w:kern w:val="0"/>
          <w:sz w:val="32"/>
        </w:rPr>
        <w:t>，</w:t>
      </w:r>
      <w:r>
        <w:rPr>
          <w:rFonts w:eastAsia="仿宋_GB2312"/>
          <w:color w:val="000000"/>
          <w:kern w:val="0"/>
          <w:sz w:val="32"/>
        </w:rPr>
        <w:t>13:30-17:00</w:t>
      </w:r>
      <w:r>
        <w:rPr>
          <w:rFonts w:hint="eastAsia" w:eastAsia="仿宋_GB2312"/>
          <w:color w:val="000000"/>
          <w:kern w:val="0"/>
          <w:sz w:val="32"/>
        </w:rPr>
        <w:t>）</w:t>
      </w:r>
    </w:p>
    <w:p>
      <w:pPr>
        <w:autoSpaceDN w:val="0"/>
        <w:spacing w:line="360" w:lineRule="auto"/>
        <w:ind w:firstLine="640" w:firstLineChars="200"/>
        <w:rPr>
          <w:rFonts w:eastAsia="黑体"/>
          <w:color w:val="000000"/>
          <w:sz w:val="32"/>
        </w:rPr>
      </w:pPr>
      <w:r>
        <w:rPr>
          <w:rFonts w:hint="eastAsia" w:eastAsia="黑体"/>
          <w:color w:val="000000"/>
          <w:sz w:val="32"/>
        </w:rPr>
        <w:t>六、其他注意事项</w:t>
      </w:r>
    </w:p>
    <w:p>
      <w:pPr>
        <w:autoSpaceDN w:val="0"/>
        <w:spacing w:line="360" w:lineRule="auto"/>
        <w:ind w:firstLine="640" w:firstLineChars="200"/>
        <w:rPr>
          <w:rFonts w:eastAsia="仿宋_GB2312"/>
          <w:color w:val="000000"/>
          <w:kern w:val="0"/>
          <w:sz w:val="32"/>
        </w:rPr>
      </w:pPr>
      <w:r>
        <w:rPr>
          <w:rFonts w:hint="eastAsia" w:hAnsi="仿宋_GB2312" w:eastAsia="仿宋_GB2312"/>
          <w:sz w:val="32"/>
          <w:lang w:val="zh-CN"/>
        </w:rPr>
        <w:t>关于面试原则、方式、考察</w:t>
      </w:r>
      <w:r>
        <w:rPr>
          <w:rFonts w:hint="eastAsia" w:hAnsi="仿宋_GB2312" w:eastAsia="仿宋_GB2312"/>
          <w:sz w:val="32"/>
        </w:rPr>
        <w:t>（</w:t>
      </w:r>
      <w:r>
        <w:rPr>
          <w:rFonts w:hint="eastAsia" w:hAnsi="仿宋_GB2312" w:eastAsia="仿宋_GB2312"/>
          <w:sz w:val="32"/>
          <w:lang w:val="zh-CN"/>
        </w:rPr>
        <w:t>体检</w:t>
      </w:r>
      <w:r>
        <w:rPr>
          <w:rFonts w:hint="eastAsia" w:hAnsi="仿宋_GB2312" w:eastAsia="仿宋_GB2312"/>
          <w:sz w:val="32"/>
        </w:rPr>
        <w:t>）</w:t>
      </w:r>
      <w:r>
        <w:rPr>
          <w:rFonts w:hint="eastAsia" w:hAnsi="仿宋_GB2312" w:eastAsia="仿宋_GB2312"/>
          <w:sz w:val="32"/>
          <w:lang w:val="zh-CN"/>
        </w:rPr>
        <w:t>人选产生办法等事项参见中国证监会网站</w:t>
      </w:r>
      <w:r>
        <w:rPr>
          <w:rFonts w:hint="eastAsia" w:hAnsi="仿宋_GB2312"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hint="eastAsia" w:hAnsi="仿宋_GB2312" w:eastAsia="仿宋_GB2312"/>
          <w:sz w:val="32"/>
        </w:rPr>
        <w:t>）</w:t>
      </w:r>
      <w:r>
        <w:rPr>
          <w:rFonts w:hint="eastAsia" w:hAnsi="仿宋_GB2312" w:eastAsia="仿宋_GB2312"/>
          <w:sz w:val="32"/>
          <w:lang w:val="zh-CN"/>
        </w:rPr>
        <w:t>发布的</w:t>
      </w:r>
      <w:r>
        <w:rPr>
          <w:rFonts w:hint="eastAsia" w:hAnsi="仿宋_GB2312" w:eastAsia="仿宋_GB2312"/>
          <w:b/>
          <w:sz w:val="32"/>
          <w:lang w:val="zh-CN"/>
        </w:rPr>
        <w:t>《中国证监会关于</w:t>
      </w:r>
      <w:r>
        <w:rPr>
          <w:rFonts w:eastAsia="仿宋_GB2312"/>
          <w:b/>
          <w:sz w:val="32"/>
        </w:rPr>
        <w:t>2018</w:t>
      </w:r>
      <w:r>
        <w:rPr>
          <w:rFonts w:hint="eastAsia" w:eastAsia="仿宋_GB2312"/>
          <w:b/>
          <w:sz w:val="32"/>
        </w:rPr>
        <w:t>年</w:t>
      </w:r>
      <w:r>
        <w:rPr>
          <w:rFonts w:hint="eastAsia" w:hAnsi="仿宋_GB2312" w:eastAsia="仿宋_GB2312"/>
          <w:b/>
          <w:sz w:val="32"/>
          <w:lang w:val="zh-CN"/>
        </w:rPr>
        <w:t>度考试录用参照公务员法管理事业单位工作人员招录面试工作安排的公告》</w:t>
      </w:r>
      <w:r>
        <w:rPr>
          <w:rFonts w:hint="eastAsia" w:hAnsi="仿宋_GB2312" w:eastAsia="仿宋_GB2312"/>
          <w:sz w:val="32"/>
          <w:lang w:val="zh-CN"/>
        </w:rPr>
        <w:t>。</w:t>
      </w:r>
    </w:p>
    <w:p>
      <w:pPr>
        <w:autoSpaceDN w:val="0"/>
        <w:spacing w:line="360" w:lineRule="auto"/>
        <w:ind w:firstLine="640" w:firstLineChars="200"/>
        <w:rPr>
          <w:rFonts w:eastAsia="仿宋_GB2312"/>
          <w:color w:val="000000"/>
          <w:kern w:val="0"/>
          <w:sz w:val="32"/>
        </w:rPr>
      </w:pPr>
      <w:bookmarkStart w:id="1" w:name="_GoBack"/>
      <w:bookmarkEnd w:id="1"/>
    </w:p>
    <w:p>
      <w:pPr>
        <w:autoSpaceDN w:val="0"/>
        <w:spacing w:line="360" w:lineRule="auto"/>
        <w:ind w:right="95" w:firstLine="640" w:firstLineChars="200"/>
        <w:jc w:val="right"/>
        <w:textAlignment w:val="baseline"/>
        <w:rPr>
          <w:rFonts w:eastAsia="仿宋_GB2312"/>
          <w:color w:val="000000"/>
          <w:sz w:val="32"/>
        </w:rPr>
      </w:pPr>
      <w:r>
        <w:rPr>
          <w:rFonts w:hint="eastAsia" w:hAnsi="仿宋_GB2312" w:eastAsia="仿宋_GB2312"/>
          <w:color w:val="000000"/>
          <w:sz w:val="32"/>
        </w:rPr>
        <w:t>中国证券监督管理委员会</w:t>
      </w:r>
      <w:r>
        <w:rPr>
          <w:rFonts w:hint="eastAsia" w:eastAsia="仿宋_GB2312"/>
          <w:color w:val="000000"/>
          <w:sz w:val="32"/>
        </w:rPr>
        <w:t>山东</w:t>
      </w:r>
      <w:r>
        <w:rPr>
          <w:rFonts w:hint="eastAsia" w:hAnsi="仿宋_GB2312" w:eastAsia="仿宋_GB2312"/>
          <w:color w:val="000000"/>
          <w:sz w:val="32"/>
        </w:rPr>
        <w:t>监管局</w:t>
      </w:r>
    </w:p>
    <w:p>
      <w:pPr>
        <w:autoSpaceDN w:val="0"/>
        <w:spacing w:line="360" w:lineRule="auto"/>
        <w:ind w:right="1286" w:firstLine="640" w:firstLineChars="200"/>
        <w:jc w:val="left"/>
        <w:textAlignment w:val="baseline"/>
      </w:pPr>
      <w:r>
        <w:rPr>
          <w:rFonts w:eastAsia="仿宋_GB2312"/>
          <w:color w:val="000000"/>
          <w:sz w:val="32"/>
        </w:rPr>
        <w:t xml:space="preserve">                          2018</w:t>
      </w:r>
      <w:r>
        <w:rPr>
          <w:rFonts w:hint="eastAsia" w:hAnsi="仿宋_GB2312" w:eastAsia="仿宋_GB2312"/>
          <w:color w:val="000000"/>
          <w:sz w:val="32"/>
        </w:rPr>
        <w:t>年</w:t>
      </w:r>
      <w:r>
        <w:rPr>
          <w:rFonts w:eastAsia="仿宋_GB2312"/>
          <w:color w:val="000000"/>
          <w:sz w:val="32"/>
        </w:rPr>
        <w:t>2</w:t>
      </w:r>
      <w:r>
        <w:rPr>
          <w:rFonts w:hint="eastAsia" w:hAnsi="仿宋_GB2312" w:eastAsia="仿宋_GB2312"/>
          <w:color w:val="000000"/>
          <w:sz w:val="32"/>
        </w:rPr>
        <w:t>月</w:t>
      </w:r>
      <w:r>
        <w:rPr>
          <w:rFonts w:hint="eastAsia" w:eastAsia="仿宋_GB2312"/>
          <w:color w:val="000000"/>
          <w:sz w:val="32"/>
        </w:rPr>
        <w:t>28</w:t>
      </w:r>
      <w:r>
        <w:rPr>
          <w:rFonts w:hint="eastAsia" w:hAnsi="仿宋_GB2312" w:eastAsia="仿宋_GB2312"/>
          <w:color w:val="000000"/>
          <w:sz w:val="32"/>
        </w:rPr>
        <w:t>日</w:t>
      </w:r>
    </w:p>
    <w:p>
      <w:pPr>
        <w:spacing w:line="360" w:lineRule="auto"/>
        <w:ind w:firstLine="420" w:firstLineChars="200"/>
      </w:pP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9720457">
    <w:nsid w:val="5A951809"/>
    <w:multiLevelType w:val="singleLevel"/>
    <w:tmpl w:val="5A951809"/>
    <w:lvl w:ilvl="0" w:tentative="1">
      <w:start w:val="1"/>
      <w:numFmt w:val="decimal"/>
      <w:suff w:val="nothing"/>
      <w:lvlText w:val="%1."/>
      <w:lvlJc w:val="left"/>
    </w:lvl>
  </w:abstractNum>
  <w:num w:numId="1">
    <w:abstractNumId w:val="15197204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qFormat/>
    <w:uiPriority w:val="0"/>
    <w:pPr>
      <w:widowControl/>
    </w:pPr>
    <w:rPr>
      <w:kern w:val="0"/>
      <w:szCs w:val="21"/>
    </w:rPr>
  </w:style>
  <w:style w:type="character" w:customStyle="1" w:styleId="6">
    <w:name w:val="页眉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326</Words>
  <Characters>1861</Characters>
  <Lines>15</Lines>
  <Paragraphs>4</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2018-02-26T09:25:00Z</dcterms:created>
  <dc:creator>王颖</dc:creator>
  <cp:lastModifiedBy>liang</cp:lastModifiedBy>
  <dcterms:modified xsi:type="dcterms:W3CDTF">2018-02-28T03:30:42Z</dcterms:modified>
  <dc:title>中国证监会山东监管局关于2018年度考试录用参照公务员法管理事业单位工作人员面试公告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