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jc w:val="center"/>
        <w:rPr>
          <w:rFonts w:eastAsia="华文中宋"/>
          <w:b/>
          <w:sz w:val="36"/>
          <w:szCs w:val="36"/>
          <w:shd w:val="clear" w:color="auto" w:fill="FFFFFF"/>
        </w:rPr>
      </w:pPr>
      <w:r>
        <w:rPr>
          <w:rFonts w:hAnsi="华文中宋" w:eastAsia="华文中宋"/>
          <w:b/>
          <w:bCs/>
          <w:spacing w:val="-4"/>
          <w:sz w:val="36"/>
          <w:szCs w:val="36"/>
        </w:rPr>
        <w:t>中国证监会吉林监管局关于</w:t>
      </w:r>
      <w:r>
        <w:rPr>
          <w:rFonts w:eastAsia="华文中宋"/>
          <w:b/>
          <w:bCs/>
          <w:spacing w:val="-4"/>
          <w:sz w:val="36"/>
          <w:szCs w:val="36"/>
        </w:rPr>
        <w:t>2018</w:t>
      </w:r>
      <w:r>
        <w:rPr>
          <w:rFonts w:hAnsi="华文中宋" w:eastAsia="华文中宋"/>
          <w:b/>
          <w:bCs/>
          <w:spacing w:val="-4"/>
          <w:sz w:val="36"/>
          <w:szCs w:val="36"/>
        </w:rPr>
        <w:t>年度</w:t>
      </w:r>
      <w:r>
        <w:rPr>
          <w:rFonts w:hAnsi="华文中宋" w:eastAsia="华文中宋"/>
          <w:b/>
          <w:sz w:val="36"/>
          <w:szCs w:val="36"/>
          <w:shd w:val="clear" w:color="auto" w:fill="FFFFFF"/>
        </w:rPr>
        <w:t>考试录用参照公务员法管理事业单位工作人员面试公告</w:t>
      </w:r>
    </w:p>
    <w:p>
      <w:pPr>
        <w:pStyle w:val="7"/>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根据公务员录用工作有关规定，按照中国证监会的统一部署，2018年度中国证监会吉林监管局公务员招录面试定于2018年3月10日（星期六）进行，现就有关事宜公告如下：</w:t>
      </w:r>
    </w:p>
    <w:p>
      <w:pP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top w:val="single" w:color="auto" w:sz="4" w:space="0"/>
              <w:left w:val="single" w:color="auto" w:sz="4" w:space="0"/>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职位名称及代码</w:t>
            </w:r>
          </w:p>
        </w:tc>
        <w:tc>
          <w:tcPr>
            <w:tcW w:w="1229" w:type="dxa"/>
            <w:tcBorders>
              <w:top w:val="single" w:color="auto" w:sz="4" w:space="0"/>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面试</w:t>
            </w:r>
          </w:p>
          <w:p>
            <w:pPr>
              <w:widowControl/>
              <w:spacing w:line="528" w:lineRule="auto"/>
              <w:jc w:val="center"/>
              <w:rPr>
                <w:rFonts w:eastAsia="黑体"/>
                <w:b/>
                <w:bCs/>
                <w:kern w:val="0"/>
                <w:sz w:val="28"/>
                <w:szCs w:val="28"/>
              </w:rPr>
            </w:pPr>
            <w:r>
              <w:rPr>
                <w:rFonts w:eastAsia="黑体"/>
                <w:b/>
                <w:bCs/>
                <w:kern w:val="0"/>
                <w:sz w:val="28"/>
                <w:szCs w:val="28"/>
              </w:rPr>
              <w:t>分数线</w:t>
            </w:r>
          </w:p>
        </w:tc>
        <w:tc>
          <w:tcPr>
            <w:tcW w:w="1229" w:type="dxa"/>
            <w:tcBorders>
              <w:top w:val="single" w:color="auto" w:sz="4" w:space="0"/>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姓</w:t>
            </w:r>
            <w:r>
              <w:rPr>
                <w:rFonts w:hint="eastAsia" w:eastAsia="黑体"/>
                <w:b/>
                <w:bCs/>
                <w:kern w:val="0"/>
                <w:sz w:val="28"/>
                <w:szCs w:val="28"/>
              </w:rPr>
              <w:t xml:space="preserve"> </w:t>
            </w:r>
            <w:r>
              <w:rPr>
                <w:rFonts w:eastAsia="黑体"/>
                <w:b/>
                <w:bCs/>
                <w:kern w:val="0"/>
                <w:sz w:val="28"/>
                <w:szCs w:val="28"/>
              </w:rPr>
              <w:t>名</w:t>
            </w:r>
          </w:p>
        </w:tc>
        <w:tc>
          <w:tcPr>
            <w:tcW w:w="2149" w:type="dxa"/>
            <w:tcBorders>
              <w:top w:val="single" w:color="auto" w:sz="4" w:space="0"/>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准考证号</w:t>
            </w:r>
          </w:p>
        </w:tc>
        <w:tc>
          <w:tcPr>
            <w:tcW w:w="1495" w:type="dxa"/>
            <w:tcBorders>
              <w:top w:val="single" w:color="auto" w:sz="4" w:space="0"/>
              <w:left w:val="nil"/>
              <w:bottom w:val="single" w:color="000000" w:sz="6" w:space="0"/>
              <w:right w:val="single" w:color="auto" w:sz="4" w:space="0"/>
            </w:tcBorders>
            <w:vAlign w:val="center"/>
          </w:tcPr>
          <w:p>
            <w:pPr>
              <w:widowControl/>
              <w:spacing w:line="528" w:lineRule="auto"/>
              <w:jc w:val="center"/>
              <w:rPr>
                <w:rFonts w:eastAsia="黑体"/>
                <w:b/>
                <w:bCs/>
                <w:kern w:val="0"/>
                <w:sz w:val="28"/>
                <w:szCs w:val="28"/>
              </w:rPr>
            </w:pPr>
            <w:r>
              <w:rPr>
                <w:rFonts w:eastAsia="黑体"/>
                <w:b/>
                <w:bCs/>
                <w:kern w:val="0"/>
                <w:sz w:val="28"/>
                <w:szCs w:val="28"/>
              </w:rPr>
              <w:t>备注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nil"/>
              <w:left w:val="single" w:color="auto" w:sz="4" w:space="0"/>
              <w:bottom w:val="nil"/>
              <w:right w:val="single" w:color="000000" w:sz="6" w:space="0"/>
            </w:tcBorders>
            <w:vAlign w:val="center"/>
          </w:tcPr>
          <w:p>
            <w:pPr>
              <w:widowControl/>
              <w:spacing w:line="360" w:lineRule="auto"/>
              <w:jc w:val="center"/>
              <w:rPr>
                <w:kern w:val="0"/>
                <w:sz w:val="24"/>
                <w:szCs w:val="24"/>
              </w:rPr>
            </w:pPr>
            <w:r>
              <w:rPr>
                <w:kern w:val="0"/>
                <w:sz w:val="24"/>
                <w:szCs w:val="24"/>
              </w:rPr>
              <w:t>辖区市场会计类监管岗位主任科员及以下</w:t>
            </w:r>
          </w:p>
          <w:p>
            <w:pPr>
              <w:widowControl/>
              <w:spacing w:line="360" w:lineRule="auto"/>
              <w:jc w:val="center"/>
              <w:rPr>
                <w:kern w:val="0"/>
                <w:sz w:val="24"/>
                <w:szCs w:val="24"/>
              </w:rPr>
            </w:pPr>
            <w:r>
              <w:rPr>
                <w:kern w:val="0"/>
                <w:sz w:val="24"/>
                <w:szCs w:val="24"/>
              </w:rPr>
              <w:t>（400141809002）</w:t>
            </w:r>
          </w:p>
        </w:tc>
        <w:tc>
          <w:tcPr>
            <w:tcW w:w="1229" w:type="dxa"/>
            <w:vMerge w:val="restart"/>
            <w:tcBorders>
              <w:top w:val="nil"/>
              <w:left w:val="nil"/>
              <w:bottom w:val="nil"/>
              <w:right w:val="single" w:color="000000" w:sz="6" w:space="0"/>
            </w:tcBorders>
            <w:vAlign w:val="center"/>
          </w:tcPr>
          <w:p>
            <w:pPr>
              <w:widowControl/>
              <w:spacing w:line="528" w:lineRule="auto"/>
              <w:jc w:val="center"/>
              <w:rPr>
                <w:kern w:val="0"/>
                <w:sz w:val="24"/>
                <w:szCs w:val="24"/>
              </w:rPr>
            </w:pPr>
            <w:r>
              <w:rPr>
                <w:kern w:val="0"/>
                <w:sz w:val="24"/>
                <w:szCs w:val="24"/>
              </w:rPr>
              <w:t>60.550</w:t>
            </w: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孙铭泽</w:t>
            </w:r>
          </w:p>
        </w:tc>
        <w:tc>
          <w:tcPr>
            <w:tcW w:w="2149" w:type="dxa"/>
            <w:tcBorders>
              <w:top w:val="single" w:color="000000" w:sz="6"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155122002126</w:t>
            </w:r>
          </w:p>
        </w:tc>
        <w:tc>
          <w:tcPr>
            <w:tcW w:w="1495" w:type="dxa"/>
            <w:tcBorders>
              <w:top w:val="single" w:color="000000" w:sz="6" w:space="0"/>
              <w:left w:val="nil"/>
              <w:bottom w:val="single" w:color="000000" w:sz="4"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管庆婷</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155122002316</w:t>
            </w:r>
          </w:p>
        </w:tc>
        <w:tc>
          <w:tcPr>
            <w:tcW w:w="1495" w:type="dxa"/>
            <w:tcBorders>
              <w:top w:val="single" w:color="000000" w:sz="4" w:space="0"/>
              <w:left w:val="nil"/>
              <w:bottom w:val="single" w:color="000000" w:sz="4" w:space="0"/>
              <w:right w:val="single" w:color="auto" w:sz="4" w:space="0"/>
            </w:tcBorders>
            <w:vAlign w:val="center"/>
          </w:tcPr>
          <w:p>
            <w:pPr>
              <w:shd w:val="clear" w:color="auto" w:fill="FFFFFF"/>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郑瑞</w:t>
            </w:r>
          </w:p>
        </w:tc>
        <w:tc>
          <w:tcPr>
            <w:tcW w:w="2149" w:type="dxa"/>
            <w:tcBorders>
              <w:top w:val="single" w:color="000000" w:sz="4" w:space="0"/>
              <w:left w:val="nil"/>
              <w:bottom w:val="single" w:color="000000" w:sz="4" w:space="0"/>
              <w:right w:val="single" w:color="000000" w:sz="6" w:space="0"/>
            </w:tcBorders>
            <w:vAlign w:val="center"/>
          </w:tcPr>
          <w:p>
            <w:pPr>
              <w:jc w:val="center"/>
              <w:rPr>
                <w:color w:val="000000"/>
                <w:sz w:val="24"/>
                <w:szCs w:val="24"/>
              </w:rPr>
            </w:pPr>
            <w:r>
              <w:rPr>
                <w:color w:val="000000"/>
                <w:sz w:val="24"/>
                <w:szCs w:val="24"/>
              </w:rPr>
              <w:t>155133140218</w:t>
            </w:r>
          </w:p>
        </w:tc>
        <w:tc>
          <w:tcPr>
            <w:tcW w:w="1495" w:type="dxa"/>
            <w:tcBorders>
              <w:top w:val="single" w:color="000000" w:sz="4" w:space="0"/>
              <w:left w:val="nil"/>
              <w:bottom w:val="single" w:color="000000" w:sz="4"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single" w:color="auto" w:sz="4" w:space="0"/>
              <w:left w:val="single" w:color="auto" w:sz="4" w:space="0"/>
              <w:bottom w:val="nil"/>
              <w:right w:val="single" w:color="000000" w:sz="6" w:space="0"/>
            </w:tcBorders>
            <w:vAlign w:val="center"/>
          </w:tcPr>
          <w:p>
            <w:pPr>
              <w:jc w:val="center"/>
              <w:rPr>
                <w:kern w:val="0"/>
                <w:sz w:val="24"/>
                <w:szCs w:val="24"/>
              </w:rPr>
            </w:pPr>
            <w:r>
              <w:rPr>
                <w:kern w:val="0"/>
                <w:sz w:val="24"/>
                <w:szCs w:val="24"/>
              </w:rPr>
              <w:t>辖区市场法律类监管岗位主任科员及以下</w:t>
            </w:r>
          </w:p>
          <w:p>
            <w:pPr>
              <w:jc w:val="center"/>
              <w:rPr>
                <w:kern w:val="0"/>
                <w:sz w:val="24"/>
                <w:szCs w:val="24"/>
              </w:rPr>
            </w:pPr>
            <w:r>
              <w:rPr>
                <w:kern w:val="0"/>
                <w:sz w:val="24"/>
                <w:szCs w:val="24"/>
              </w:rPr>
              <w:t>（400142809001）</w:t>
            </w:r>
          </w:p>
        </w:tc>
        <w:tc>
          <w:tcPr>
            <w:tcW w:w="1229" w:type="dxa"/>
            <w:vMerge w:val="restart"/>
            <w:tcBorders>
              <w:top w:val="single" w:color="auto" w:sz="4" w:space="0"/>
              <w:left w:val="nil"/>
              <w:bottom w:val="nil"/>
              <w:right w:val="single" w:color="000000" w:sz="6" w:space="0"/>
            </w:tcBorders>
            <w:vAlign w:val="center"/>
          </w:tcPr>
          <w:p>
            <w:pPr>
              <w:jc w:val="center"/>
              <w:rPr>
                <w:kern w:val="0"/>
                <w:sz w:val="24"/>
                <w:szCs w:val="24"/>
              </w:rPr>
            </w:pPr>
            <w:r>
              <w:rPr>
                <w:kern w:val="0"/>
                <w:sz w:val="24"/>
                <w:szCs w:val="24"/>
              </w:rPr>
              <w:t>52.300</w:t>
            </w:r>
          </w:p>
        </w:tc>
        <w:tc>
          <w:tcPr>
            <w:tcW w:w="1229" w:type="dxa"/>
            <w:tcBorders>
              <w:left w:val="nil"/>
              <w:bottom w:val="single" w:color="000000" w:sz="6" w:space="0"/>
              <w:right w:val="single" w:color="000000" w:sz="6" w:space="0"/>
            </w:tcBorders>
            <w:vAlign w:val="center"/>
          </w:tcPr>
          <w:p>
            <w:pPr>
              <w:jc w:val="center"/>
              <w:rPr>
                <w:color w:val="000000"/>
                <w:sz w:val="24"/>
                <w:szCs w:val="24"/>
              </w:rPr>
            </w:pPr>
            <w:r>
              <w:rPr>
                <w:color w:val="000000"/>
                <w:sz w:val="24"/>
                <w:szCs w:val="24"/>
              </w:rPr>
              <w:t>吕昆</w:t>
            </w:r>
          </w:p>
        </w:tc>
        <w:tc>
          <w:tcPr>
            <w:tcW w:w="2149" w:type="dxa"/>
            <w:tcBorders>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155122002108</w:t>
            </w:r>
          </w:p>
        </w:tc>
        <w:tc>
          <w:tcPr>
            <w:tcW w:w="1495" w:type="dxa"/>
            <w:tcBorders>
              <w:left w:val="nil"/>
              <w:bottom w:val="single" w:color="000000" w:sz="6" w:space="0"/>
              <w:right w:val="single" w:color="auto" w:sz="4" w:space="0"/>
            </w:tcBorders>
            <w:vAlign w:val="center"/>
          </w:tcPr>
          <w:p>
            <w:pPr>
              <w:jc w:val="center"/>
              <w:rPr>
                <w:color w:val="000000"/>
                <w:sz w:val="24"/>
                <w:szCs w:val="24"/>
              </w:rPr>
            </w:pPr>
            <w:r>
              <w:rPr>
                <w:color w:val="000000"/>
                <w:sz w:val="24"/>
                <w:szCs w:val="24"/>
              </w:rPr>
              <w:t>递补</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苗茵</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155122002129</w:t>
            </w:r>
          </w:p>
        </w:tc>
        <w:tc>
          <w:tcPr>
            <w:tcW w:w="1495" w:type="dxa"/>
            <w:tcBorders>
              <w:top w:val="single" w:color="000000" w:sz="4" w:space="0"/>
              <w:left w:val="nil"/>
              <w:bottom w:val="single" w:color="000000" w:sz="6"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张卓</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155122002130</w:t>
            </w:r>
          </w:p>
        </w:tc>
        <w:tc>
          <w:tcPr>
            <w:tcW w:w="1495" w:type="dxa"/>
            <w:tcBorders>
              <w:top w:val="single" w:color="000000" w:sz="4" w:space="0"/>
              <w:left w:val="nil"/>
              <w:bottom w:val="single" w:color="000000" w:sz="6"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nil"/>
              <w:right w:val="single" w:color="000000" w:sz="6" w:space="0"/>
            </w:tcBorders>
            <w:vAlign w:val="center"/>
          </w:tcPr>
          <w:p>
            <w:pPr>
              <w:widowControl/>
              <w:jc w:val="center"/>
              <w:rPr>
                <w:kern w:val="0"/>
                <w:sz w:val="24"/>
                <w:szCs w:val="24"/>
              </w:rPr>
            </w:pPr>
          </w:p>
        </w:tc>
        <w:tc>
          <w:tcPr>
            <w:tcW w:w="1229" w:type="dxa"/>
            <w:vMerge w:val="continue"/>
            <w:tcBorders>
              <w:top w:val="nil"/>
              <w:left w:val="nil"/>
              <w:bottom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张微</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155122002214</w:t>
            </w:r>
          </w:p>
        </w:tc>
        <w:tc>
          <w:tcPr>
            <w:tcW w:w="1495" w:type="dxa"/>
            <w:tcBorders>
              <w:top w:val="single" w:color="000000" w:sz="4" w:space="0"/>
              <w:left w:val="nil"/>
              <w:bottom w:val="single" w:color="000000" w:sz="6" w:space="0"/>
              <w:right w:val="single" w:color="auto" w:sz="4" w:space="0"/>
            </w:tcBorders>
            <w:vAlign w:val="center"/>
          </w:tcPr>
          <w:p>
            <w:pPr>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top w:val="nil"/>
              <w:left w:val="single" w:color="auto" w:sz="4" w:space="0"/>
              <w:bottom w:val="single" w:color="000000" w:sz="6" w:space="0"/>
              <w:right w:val="single" w:color="000000" w:sz="6" w:space="0"/>
            </w:tcBorders>
            <w:vAlign w:val="center"/>
          </w:tcPr>
          <w:p>
            <w:pPr>
              <w:widowControl/>
              <w:jc w:val="center"/>
              <w:rPr>
                <w:kern w:val="0"/>
                <w:sz w:val="24"/>
                <w:szCs w:val="24"/>
              </w:rPr>
            </w:pPr>
          </w:p>
        </w:tc>
        <w:tc>
          <w:tcPr>
            <w:tcW w:w="1229" w:type="dxa"/>
            <w:vMerge w:val="continue"/>
            <w:tcBorders>
              <w:top w:val="nil"/>
              <w:left w:val="nil"/>
              <w:bottom w:val="single" w:color="000000" w:sz="6"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宫聪</w:t>
            </w:r>
          </w:p>
        </w:tc>
        <w:tc>
          <w:tcPr>
            <w:tcW w:w="2149" w:type="dxa"/>
            <w:tcBorders>
              <w:top w:val="single" w:color="000000" w:sz="4" w:space="0"/>
              <w:left w:val="nil"/>
              <w:bottom w:val="single" w:color="000000" w:sz="6" w:space="0"/>
              <w:right w:val="single" w:color="000000" w:sz="6" w:space="0"/>
            </w:tcBorders>
            <w:vAlign w:val="center"/>
          </w:tcPr>
          <w:p>
            <w:pPr>
              <w:jc w:val="center"/>
              <w:rPr>
                <w:color w:val="000000"/>
                <w:sz w:val="24"/>
                <w:szCs w:val="24"/>
              </w:rPr>
            </w:pPr>
            <w:r>
              <w:rPr>
                <w:color w:val="000000"/>
                <w:sz w:val="24"/>
                <w:szCs w:val="24"/>
              </w:rPr>
              <w:t>155122002304</w:t>
            </w:r>
          </w:p>
        </w:tc>
        <w:tc>
          <w:tcPr>
            <w:tcW w:w="1495" w:type="dxa"/>
            <w:tcBorders>
              <w:top w:val="single" w:color="000000" w:sz="4" w:space="0"/>
              <w:left w:val="nil"/>
              <w:bottom w:val="single" w:color="000000" w:sz="6" w:space="0"/>
              <w:right w:val="single" w:color="auto" w:sz="4" w:space="0"/>
            </w:tcBorders>
            <w:vAlign w:val="center"/>
          </w:tcPr>
          <w:p>
            <w:pPr>
              <w:jc w:val="center"/>
              <w:rPr>
                <w:color w:val="000000"/>
                <w:sz w:val="24"/>
                <w:szCs w:val="24"/>
              </w:rPr>
            </w:pPr>
          </w:p>
        </w:tc>
      </w:tr>
    </w:tbl>
    <w:p>
      <w:pP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autoSpaceDN w:val="0"/>
        <w:spacing w:line="360" w:lineRule="auto"/>
        <w:ind w:firstLine="640" w:firstLineChars="200"/>
        <w:rPr>
          <w:rFonts w:eastAsia="仿宋_GB2312"/>
          <w:sz w:val="32"/>
        </w:rPr>
      </w:pPr>
      <w:r>
        <w:rPr>
          <w:rFonts w:hAnsi="仿宋_GB2312" w:eastAsia="仿宋_GB2312"/>
          <w:sz w:val="32"/>
        </w:rPr>
        <w:t>（一）时间：</w:t>
      </w:r>
      <w:r>
        <w:rPr>
          <w:rFonts w:eastAsia="仿宋_GB2312"/>
          <w:sz w:val="32"/>
        </w:rPr>
        <w:t>2018</w:t>
      </w:r>
      <w:r>
        <w:rPr>
          <w:rFonts w:hAnsi="仿宋_GB2312" w:eastAsia="仿宋_GB2312"/>
          <w:sz w:val="32"/>
        </w:rPr>
        <w:t>年</w:t>
      </w:r>
      <w:r>
        <w:rPr>
          <w:rFonts w:eastAsia="仿宋_GB2312"/>
          <w:sz w:val="32"/>
        </w:rPr>
        <w:t>3</w:t>
      </w:r>
      <w:r>
        <w:rPr>
          <w:rFonts w:hAnsi="仿宋_GB2312" w:eastAsia="仿宋_GB2312"/>
          <w:sz w:val="32"/>
        </w:rPr>
        <w:t>月</w:t>
      </w:r>
      <w:r>
        <w:rPr>
          <w:rFonts w:eastAsia="仿宋_GB2312"/>
          <w:sz w:val="32"/>
        </w:rPr>
        <w:t>10</w:t>
      </w:r>
      <w:r>
        <w:rPr>
          <w:rFonts w:hAnsi="仿宋_GB2312" w:eastAsia="仿宋_GB2312"/>
          <w:sz w:val="32"/>
        </w:rPr>
        <w:t>日上午</w:t>
      </w:r>
      <w:r>
        <w:rPr>
          <w:rFonts w:eastAsia="仿宋_GB2312"/>
          <w:sz w:val="32"/>
        </w:rPr>
        <w:t>9:00</w:t>
      </w:r>
      <w:r>
        <w:rPr>
          <w:rFonts w:hAnsi="仿宋_GB2312" w:eastAsia="仿宋_GB2312"/>
          <w:sz w:val="32"/>
        </w:rPr>
        <w:t>（周六）</w:t>
      </w:r>
    </w:p>
    <w:p>
      <w:pPr>
        <w:autoSpaceDN w:val="0"/>
        <w:spacing w:line="360" w:lineRule="auto"/>
        <w:ind w:firstLine="640" w:firstLineChars="200"/>
        <w:rPr>
          <w:rFonts w:eastAsia="仿宋_GB2312"/>
          <w:color w:val="000000"/>
          <w:sz w:val="32"/>
        </w:rPr>
      </w:pPr>
      <w:r>
        <w:rPr>
          <w:rFonts w:hAnsi="仿宋_GB2312" w:eastAsia="仿宋_GB2312"/>
          <w:color w:val="000000"/>
          <w:sz w:val="32"/>
        </w:rPr>
        <w:t>（二）地点：中国证监会</w:t>
      </w:r>
      <w:r>
        <w:rPr>
          <w:rFonts w:eastAsia="仿宋_GB2312"/>
          <w:color w:val="000000"/>
          <w:sz w:val="32"/>
        </w:rPr>
        <w:t>吉林</w:t>
      </w:r>
      <w:r>
        <w:rPr>
          <w:rFonts w:hAnsi="仿宋_GB2312" w:eastAsia="仿宋_GB2312"/>
          <w:color w:val="000000"/>
          <w:sz w:val="32"/>
        </w:rPr>
        <w:t>监管局</w:t>
      </w:r>
    </w:p>
    <w:p>
      <w:pPr>
        <w:autoSpaceDN w:val="0"/>
        <w:spacing w:line="360" w:lineRule="auto"/>
        <w:ind w:firstLine="640" w:firstLineChars="200"/>
        <w:rPr>
          <w:rFonts w:eastAsia="仿宋_GB2312"/>
          <w:color w:val="000000"/>
          <w:sz w:val="32"/>
        </w:rPr>
      </w:pPr>
      <w:r>
        <w:rPr>
          <w:rFonts w:hAnsi="仿宋_GB2312" w:eastAsia="仿宋_GB2312"/>
          <w:color w:val="000000"/>
          <w:sz w:val="32"/>
        </w:rPr>
        <w:t>地址：</w:t>
      </w:r>
      <w:r>
        <w:rPr>
          <w:rFonts w:eastAsia="仿宋_GB2312"/>
          <w:color w:val="000000"/>
          <w:sz w:val="32"/>
        </w:rPr>
        <w:t>吉林</w:t>
      </w:r>
      <w:r>
        <w:rPr>
          <w:rFonts w:hAnsi="仿宋_GB2312" w:eastAsia="仿宋_GB2312"/>
          <w:color w:val="000000"/>
          <w:sz w:val="32"/>
        </w:rPr>
        <w:t>省长春市朝阳区解放大路</w:t>
      </w:r>
      <w:r>
        <w:rPr>
          <w:rFonts w:eastAsia="仿宋_GB2312"/>
          <w:color w:val="000000"/>
          <w:sz w:val="32"/>
        </w:rPr>
        <w:t>2518</w:t>
      </w:r>
      <w:r>
        <w:rPr>
          <w:rFonts w:hAnsi="仿宋_GB2312" w:eastAsia="仿宋_GB2312"/>
          <w:color w:val="000000"/>
          <w:sz w:val="32"/>
        </w:rPr>
        <w:t>号</w:t>
      </w:r>
    </w:p>
    <w:p>
      <w:pPr>
        <w:autoSpaceDN w:val="0"/>
        <w:spacing w:line="360" w:lineRule="auto"/>
        <w:ind w:firstLine="640" w:firstLineChars="200"/>
        <w:rPr>
          <w:rFonts w:eastAsia="仿宋_GB2312"/>
          <w:color w:val="000000"/>
          <w:sz w:val="32"/>
        </w:rPr>
      </w:pPr>
      <w:r>
        <w:rPr>
          <w:rFonts w:hAnsi="仿宋_GB2312" w:eastAsia="仿宋_GB2312"/>
          <w:color w:val="000000"/>
          <w:sz w:val="32"/>
        </w:rPr>
        <w:t>联系电话：</w:t>
      </w:r>
      <w:r>
        <w:rPr>
          <w:rFonts w:eastAsia="仿宋_GB2312"/>
          <w:color w:val="000000"/>
          <w:sz w:val="32"/>
        </w:rPr>
        <w:t>0431-85097830</w:t>
      </w:r>
    </w:p>
    <w:p>
      <w:pPr>
        <w:autoSpaceDN w:val="0"/>
        <w:spacing w:line="360" w:lineRule="auto"/>
        <w:ind w:firstLine="640" w:firstLineChars="200"/>
        <w:rPr>
          <w:rFonts w:eastAsia="黑体"/>
          <w:color w:val="000000"/>
          <w:sz w:val="32"/>
        </w:rPr>
      </w:pPr>
      <w:r>
        <w:rPr>
          <w:rFonts w:eastAsia="黑体"/>
          <w:color w:val="000000"/>
          <w:sz w:val="32"/>
        </w:rPr>
        <w:t>三、面试具体要求</w:t>
      </w:r>
    </w:p>
    <w:p>
      <w:pPr>
        <w:autoSpaceDN w:val="0"/>
        <w:spacing w:line="360" w:lineRule="auto"/>
        <w:ind w:firstLine="640" w:firstLineChars="200"/>
        <w:rPr>
          <w:rFonts w:eastAsia="仿宋_GB2312"/>
          <w:color w:val="000000"/>
          <w:sz w:val="32"/>
        </w:rPr>
      </w:pPr>
      <w:r>
        <w:rPr>
          <w:rFonts w:eastAsia="仿宋_GB2312"/>
          <w:color w:val="000000"/>
          <w:sz w:val="32"/>
        </w:rPr>
        <w:t>（一）参加面试的考生须携带以下材料：</w:t>
      </w:r>
    </w:p>
    <w:p>
      <w:pPr>
        <w:autoSpaceDN w:val="0"/>
        <w:spacing w:line="360" w:lineRule="auto"/>
        <w:ind w:firstLine="640" w:firstLineChars="200"/>
        <w:rPr>
          <w:rFonts w:eastAsia="仿宋_GB2312"/>
          <w:color w:val="000000"/>
          <w:sz w:val="32"/>
        </w:rPr>
      </w:pPr>
      <w:r>
        <w:rPr>
          <w:rFonts w:eastAsia="仿宋_GB2312"/>
          <w:color w:val="000000"/>
          <w:sz w:val="32"/>
        </w:rPr>
        <w:t>1. 本人身份证原件；</w:t>
      </w:r>
    </w:p>
    <w:p>
      <w:pP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w:t>
      </w:r>
    </w:p>
    <w:p>
      <w:pP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autoSpaceDN w:val="0"/>
        <w:spacing w:line="360" w:lineRule="auto"/>
        <w:ind w:firstLine="640" w:firstLineChars="200"/>
        <w:rPr>
          <w:rFonts w:eastAsia="仿宋_GB2312"/>
          <w:color w:val="000000"/>
          <w:sz w:val="32"/>
        </w:rPr>
      </w:pPr>
      <w:r>
        <w:rPr>
          <w:rFonts w:eastAsia="仿宋_GB2312"/>
          <w:color w:val="000000"/>
          <w:sz w:val="32"/>
        </w:rPr>
        <w:t>6. 相关专业资格证书原件（根据职位要求提供）；</w:t>
      </w:r>
    </w:p>
    <w:p>
      <w:pPr>
        <w:autoSpaceDN w:val="0"/>
        <w:spacing w:line="360" w:lineRule="auto"/>
        <w:ind w:firstLine="640" w:firstLineChars="200"/>
        <w:rPr>
          <w:rFonts w:eastAsia="仿宋_GB2312"/>
          <w:sz w:val="32"/>
        </w:rPr>
      </w:pPr>
      <w:r>
        <w:rPr>
          <w:rFonts w:eastAsia="仿宋_GB2312"/>
          <w:sz w:val="32"/>
        </w:rPr>
        <w:t>7. 所获各种奖励证书原件；</w:t>
      </w:r>
    </w:p>
    <w:p>
      <w:pP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hAnsi="仿宋_GB2312"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hAnsi="仿宋_GB2312" w:eastAsia="仿宋_GB2312"/>
          <w:sz w:val="32"/>
          <w:shd w:val="clear" w:color="auto" w:fill="FFFFFF"/>
        </w:rPr>
        <w:t>（详见附件）</w:t>
      </w:r>
      <w:r>
        <w:rPr>
          <w:rFonts w:eastAsia="仿宋_GB2312"/>
          <w:sz w:val="32"/>
          <w:szCs w:val="32"/>
        </w:rPr>
        <w:t>，需注明考生政治面貌和出具证明单位联系人和办公电话。</w:t>
      </w:r>
    </w:p>
    <w:p>
      <w:pP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autoSpaceDN w:val="0"/>
        <w:spacing w:line="360" w:lineRule="auto"/>
        <w:ind w:firstLine="640" w:firstLineChars="200"/>
        <w:rPr>
          <w:rFonts w:eastAsia="仿宋_GB2312"/>
          <w:color w:val="000000"/>
          <w:sz w:val="32"/>
        </w:rPr>
      </w:pPr>
      <w:r>
        <w:rPr>
          <w:rFonts w:hAnsi="仿宋_GB2312" w:eastAsia="仿宋_GB2312"/>
          <w:color w:val="000000"/>
          <w:sz w:val="32"/>
        </w:rPr>
        <w:t>（二）凡参加面试考生请于面试当日</w:t>
      </w:r>
      <w:r>
        <w:rPr>
          <w:rFonts w:eastAsia="仿宋_GB2312"/>
          <w:color w:val="000000"/>
          <w:sz w:val="32"/>
        </w:rPr>
        <w:t>8:30</w:t>
      </w:r>
      <w:r>
        <w:rPr>
          <w:rFonts w:hAnsi="仿宋_GB2312" w:eastAsia="仿宋_GB2312"/>
          <w:color w:val="000000"/>
          <w:sz w:val="32"/>
        </w:rPr>
        <w:t>准时报到，进行资格复审和面试顺序抽签。</w:t>
      </w:r>
      <w:r>
        <w:rPr>
          <w:rFonts w:hAnsi="仿宋_GB2312" w:eastAsia="仿宋_GB2312"/>
          <w:b/>
          <w:color w:val="000000"/>
          <w:sz w:val="32"/>
        </w:rPr>
        <w:t>截至</w:t>
      </w:r>
      <w:r>
        <w:rPr>
          <w:rFonts w:eastAsia="仿宋_GB2312"/>
          <w:b/>
          <w:color w:val="000000"/>
          <w:sz w:val="32"/>
        </w:rPr>
        <w:t>8:30</w:t>
      </w:r>
      <w:r>
        <w:rPr>
          <w:rFonts w:hAnsi="仿宋_GB2312" w:eastAsia="仿宋_GB2312"/>
          <w:b/>
          <w:color w:val="000000"/>
          <w:sz w:val="32"/>
        </w:rPr>
        <w:t>没有进入候考室的考生，取消面试资格，请考生确保联系电话畅通。</w:t>
      </w:r>
    </w:p>
    <w:p>
      <w:pP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autoSpaceDN w:val="0"/>
        <w:spacing w:line="360" w:lineRule="auto"/>
        <w:ind w:firstLine="640" w:firstLineChars="200"/>
        <w:rPr>
          <w:rFonts w:eastAsia="仿宋_GB2312"/>
          <w:color w:val="000000"/>
          <w:sz w:val="32"/>
        </w:rPr>
      </w:pPr>
      <w:r>
        <w:rPr>
          <w:rFonts w:eastAsia="仿宋_GB2312"/>
          <w:color w:val="000000"/>
          <w:sz w:val="32"/>
        </w:rPr>
        <w:t>（四）考生参加面试期间的食宿、交通费用由考生自理，请考生安排好行程，并注意安全。</w:t>
      </w:r>
    </w:p>
    <w:p>
      <w:pP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2"/>
        </w:pBdr>
        <w:autoSpaceDN w:val="0"/>
        <w:spacing w:line="360" w:lineRule="auto"/>
        <w:ind w:firstLine="640" w:firstLineChars="200"/>
        <w:rPr>
          <w:rFonts w:eastAsia="仿宋_GB2312"/>
          <w:color w:val="000000"/>
          <w:sz w:val="32"/>
        </w:rPr>
      </w:pPr>
      <w:r>
        <w:rPr>
          <w:rFonts w:hAnsi="仿宋_GB2312" w:eastAsia="仿宋_GB2312"/>
          <w:color w:val="000000"/>
          <w:sz w:val="32"/>
        </w:rPr>
        <w:t>（一）飞机：</w:t>
      </w:r>
      <w:r>
        <w:rPr>
          <w:rFonts w:eastAsia="仿宋_GB2312"/>
          <w:sz w:val="32"/>
        </w:rPr>
        <w:t>乘机场大巴到民航宾馆，下车后沿解放大路西行</w:t>
      </w:r>
      <w:r>
        <w:rPr>
          <w:rFonts w:eastAsia="仿宋_GB2312"/>
          <w:color w:val="000000"/>
          <w:sz w:val="32"/>
        </w:rPr>
        <w:t>2000</w:t>
      </w:r>
      <w:r>
        <w:rPr>
          <w:rFonts w:eastAsia="仿宋_GB2312"/>
          <w:sz w:val="32"/>
        </w:rPr>
        <w:t>米，至与同志街交汇处交通大厦（吉林省交通厅）</w:t>
      </w:r>
      <w:r>
        <w:rPr>
          <w:rFonts w:hAnsi="仿宋_GB2312" w:eastAsia="仿宋_GB2312"/>
          <w:color w:val="000000"/>
          <w:sz w:val="32"/>
        </w:rPr>
        <w:t>。</w:t>
      </w:r>
    </w:p>
    <w:p>
      <w:pPr>
        <w:spacing w:line="360" w:lineRule="auto"/>
        <w:ind w:firstLine="640" w:firstLineChars="200"/>
        <w:rPr>
          <w:rFonts w:eastAsia="仿宋_GB2312"/>
          <w:color w:val="000000"/>
          <w:sz w:val="32"/>
        </w:rPr>
      </w:pPr>
      <w:r>
        <w:rPr>
          <w:rFonts w:hAnsi="仿宋_GB2312" w:eastAsia="仿宋_GB2312"/>
          <w:color w:val="000000"/>
          <w:sz w:val="32"/>
        </w:rPr>
        <w:t>（二）火车</w:t>
      </w:r>
    </w:p>
    <w:p>
      <w:pPr>
        <w:spacing w:line="360" w:lineRule="auto"/>
        <w:ind w:firstLine="640" w:firstLineChars="200"/>
        <w:rPr>
          <w:rFonts w:eastAsia="仿宋_GB2312"/>
          <w:sz w:val="32"/>
        </w:rPr>
      </w:pPr>
      <w:r>
        <w:rPr>
          <w:rFonts w:eastAsia="仿宋_GB2312"/>
          <w:sz w:val="32"/>
        </w:rPr>
        <w:t>长春站：</w:t>
      </w:r>
    </w:p>
    <w:p>
      <w:pPr>
        <w:numPr>
          <w:ilvl w:val="0"/>
          <w:numId w:val="1"/>
        </w:numPr>
        <w:spacing w:line="360" w:lineRule="auto"/>
        <w:ind w:firstLine="640" w:firstLineChars="200"/>
        <w:rPr>
          <w:rFonts w:eastAsia="仿宋_GB2312"/>
          <w:sz w:val="32"/>
        </w:rPr>
      </w:pPr>
      <w:r>
        <w:rPr>
          <w:rFonts w:eastAsia="仿宋_GB2312"/>
          <w:sz w:val="32"/>
        </w:rPr>
        <w:t>乘坐</w:t>
      </w:r>
      <w:r>
        <w:rPr>
          <w:rFonts w:eastAsia="仿宋_GB2312"/>
          <w:color w:val="000000"/>
          <w:sz w:val="32"/>
        </w:rPr>
        <w:t>6</w:t>
      </w:r>
      <w:r>
        <w:rPr>
          <w:rFonts w:eastAsia="仿宋_GB2312"/>
          <w:sz w:val="32"/>
        </w:rPr>
        <w:t>路、</w:t>
      </w:r>
      <w:r>
        <w:rPr>
          <w:rFonts w:eastAsia="仿宋_GB2312"/>
          <w:color w:val="000000"/>
          <w:sz w:val="32"/>
        </w:rPr>
        <w:t>66</w:t>
      </w:r>
      <w:r>
        <w:rPr>
          <w:rFonts w:eastAsia="仿宋_GB2312"/>
          <w:sz w:val="32"/>
        </w:rPr>
        <w:t>路、</w:t>
      </w:r>
      <w:r>
        <w:rPr>
          <w:rFonts w:eastAsia="仿宋_GB2312"/>
          <w:color w:val="000000"/>
          <w:sz w:val="32"/>
        </w:rPr>
        <w:t>306</w:t>
      </w:r>
      <w:r>
        <w:rPr>
          <w:rFonts w:eastAsia="仿宋_GB2312"/>
          <w:sz w:val="32"/>
        </w:rPr>
        <w:t>路公交车至解放大路站，下车后沿解放大路西行</w:t>
      </w:r>
      <w:r>
        <w:rPr>
          <w:rFonts w:eastAsia="仿宋_GB2312"/>
          <w:color w:val="000000"/>
          <w:sz w:val="32"/>
        </w:rPr>
        <w:t>200</w:t>
      </w:r>
      <w:r>
        <w:rPr>
          <w:rFonts w:eastAsia="仿宋_GB2312"/>
          <w:sz w:val="32"/>
        </w:rPr>
        <w:t>米，到达交通大厦</w:t>
      </w:r>
      <w:r>
        <w:rPr>
          <w:rFonts w:hint="eastAsia" w:eastAsia="仿宋_GB2312"/>
          <w:sz w:val="32"/>
          <w:lang w:eastAsia="zh-CN"/>
        </w:rPr>
        <w:t>（</w:t>
      </w:r>
      <w:r>
        <w:rPr>
          <w:rFonts w:eastAsia="仿宋_GB2312"/>
          <w:sz w:val="32"/>
        </w:rPr>
        <w:t>吉林省交通厅</w:t>
      </w:r>
      <w:r>
        <w:rPr>
          <w:rFonts w:hint="eastAsia" w:eastAsia="仿宋_GB2312"/>
          <w:sz w:val="32"/>
          <w:lang w:eastAsia="zh-CN"/>
        </w:rPr>
        <w:t>）。</w:t>
      </w:r>
    </w:p>
    <w:p>
      <w:pPr>
        <w:numPr>
          <w:ilvl w:val="0"/>
          <w:numId w:val="1"/>
        </w:numPr>
        <w:spacing w:line="360" w:lineRule="auto"/>
        <w:ind w:firstLine="640" w:firstLineChars="200"/>
        <w:rPr>
          <w:rFonts w:eastAsia="仿宋_GB2312"/>
          <w:color w:val="000000"/>
          <w:sz w:val="32"/>
        </w:rPr>
      </w:pPr>
      <w:r>
        <w:rPr>
          <w:rFonts w:eastAsia="仿宋_GB2312"/>
          <w:sz w:val="32"/>
        </w:rPr>
        <w:t>乘坐</w:t>
      </w:r>
      <w:r>
        <w:rPr>
          <w:rFonts w:eastAsia="仿宋_GB2312"/>
          <w:color w:val="000000"/>
          <w:sz w:val="32"/>
        </w:rPr>
        <w:t>62</w:t>
      </w:r>
      <w:r>
        <w:rPr>
          <w:rFonts w:eastAsia="仿宋_GB2312"/>
          <w:sz w:val="32"/>
        </w:rPr>
        <w:t>路、</w:t>
      </w:r>
      <w:r>
        <w:rPr>
          <w:rFonts w:eastAsia="仿宋_GB2312"/>
          <w:color w:val="000000"/>
          <w:sz w:val="32"/>
        </w:rPr>
        <w:t>362</w:t>
      </w:r>
      <w:r>
        <w:rPr>
          <w:rFonts w:eastAsia="仿宋_GB2312"/>
          <w:sz w:val="32"/>
        </w:rPr>
        <w:t>路、</w:t>
      </w:r>
      <w:r>
        <w:rPr>
          <w:rFonts w:eastAsia="仿宋_GB2312"/>
          <w:color w:val="000000"/>
          <w:sz w:val="32"/>
        </w:rPr>
        <w:t>363</w:t>
      </w:r>
      <w:r>
        <w:rPr>
          <w:rFonts w:eastAsia="仿宋_GB2312"/>
          <w:sz w:val="32"/>
        </w:rPr>
        <w:t>路公交车至新华保险站，下车后向东北方向步行</w:t>
      </w:r>
      <w:r>
        <w:rPr>
          <w:rFonts w:eastAsia="仿宋_GB2312"/>
          <w:color w:val="000000"/>
          <w:sz w:val="32"/>
        </w:rPr>
        <w:t>100</w:t>
      </w:r>
      <w:r>
        <w:rPr>
          <w:rFonts w:eastAsia="仿宋_GB2312"/>
          <w:sz w:val="32"/>
        </w:rPr>
        <w:t>米，到达交通大厦（吉林省交通厅）</w:t>
      </w:r>
      <w:r>
        <w:rPr>
          <w:rFonts w:hAnsi="仿宋_GB2312" w:eastAsia="仿宋_GB2312"/>
          <w:color w:val="000000"/>
          <w:sz w:val="32"/>
        </w:rPr>
        <w:t>。</w:t>
      </w:r>
      <w:bookmarkStart w:id="0" w:name="_GoBack"/>
      <w:bookmarkEnd w:id="0"/>
    </w:p>
    <w:p>
      <w:pPr>
        <w:spacing w:line="360" w:lineRule="auto"/>
        <w:ind w:firstLine="640" w:firstLineChars="200"/>
        <w:rPr>
          <w:rFonts w:eastAsia="仿宋_GB2312"/>
          <w:sz w:val="32"/>
        </w:rPr>
      </w:pPr>
      <w:r>
        <w:rPr>
          <w:rFonts w:hAnsi="仿宋_GB2312" w:eastAsia="仿宋_GB2312"/>
          <w:color w:val="000000"/>
          <w:sz w:val="32"/>
        </w:rPr>
        <w:t>长春西站：乘坐</w:t>
      </w:r>
      <w:r>
        <w:rPr>
          <w:rFonts w:eastAsia="仿宋_GB2312"/>
          <w:color w:val="000000"/>
          <w:sz w:val="32"/>
        </w:rPr>
        <w:t>55</w:t>
      </w:r>
      <w:r>
        <w:rPr>
          <w:rFonts w:hAnsi="仿宋_GB2312" w:eastAsia="仿宋_GB2312"/>
          <w:color w:val="000000"/>
          <w:sz w:val="32"/>
        </w:rPr>
        <w:t>路有轨电车至工农大路站下车，转乘</w:t>
      </w:r>
      <w:r>
        <w:rPr>
          <w:rFonts w:eastAsia="仿宋_GB2312"/>
          <w:color w:val="000000"/>
          <w:sz w:val="32"/>
        </w:rPr>
        <w:t>62</w:t>
      </w:r>
      <w:r>
        <w:rPr>
          <w:rFonts w:hAnsi="仿宋_GB2312" w:eastAsia="仿宋_GB2312"/>
          <w:color w:val="000000"/>
          <w:sz w:val="32"/>
        </w:rPr>
        <w:t>路、</w:t>
      </w:r>
      <w:r>
        <w:rPr>
          <w:rFonts w:eastAsia="仿宋_GB2312"/>
          <w:color w:val="000000"/>
          <w:sz w:val="32"/>
        </w:rPr>
        <w:t>362</w:t>
      </w:r>
      <w:r>
        <w:rPr>
          <w:rFonts w:hAnsi="仿宋_GB2312" w:eastAsia="仿宋_GB2312"/>
          <w:color w:val="000000"/>
          <w:sz w:val="32"/>
        </w:rPr>
        <w:t>路、</w:t>
      </w:r>
      <w:r>
        <w:rPr>
          <w:rFonts w:eastAsia="仿宋_GB2312"/>
          <w:color w:val="000000"/>
          <w:sz w:val="32"/>
        </w:rPr>
        <w:t>363</w:t>
      </w:r>
      <w:r>
        <w:rPr>
          <w:rFonts w:hAnsi="仿宋_GB2312" w:eastAsia="仿宋_GB2312"/>
          <w:color w:val="000000"/>
          <w:sz w:val="32"/>
        </w:rPr>
        <w:t>路公交车至新华保险站</w:t>
      </w:r>
      <w:r>
        <w:rPr>
          <w:rFonts w:eastAsia="仿宋_GB2312"/>
          <w:sz w:val="32"/>
        </w:rPr>
        <w:t>，下车后向东北方向步行</w:t>
      </w:r>
      <w:r>
        <w:rPr>
          <w:rFonts w:eastAsia="仿宋_GB2312"/>
          <w:color w:val="000000"/>
          <w:sz w:val="32"/>
        </w:rPr>
        <w:t>100</w:t>
      </w:r>
      <w:r>
        <w:rPr>
          <w:rFonts w:eastAsia="仿宋_GB2312"/>
          <w:sz w:val="32"/>
        </w:rPr>
        <w:t>米，到达交通大厦（吉林省交通厅）</w:t>
      </w:r>
      <w:r>
        <w:rPr>
          <w:rFonts w:hAnsi="仿宋_GB2312" w:eastAsia="仿宋_GB2312"/>
          <w:color w:val="000000"/>
          <w:sz w:val="32"/>
        </w:rPr>
        <w:t>。</w:t>
      </w:r>
    </w:p>
    <w:p>
      <w:pPr>
        <w:autoSpaceDN w:val="0"/>
        <w:spacing w:line="360" w:lineRule="auto"/>
        <w:ind w:firstLine="640" w:firstLineChars="200"/>
        <w:rPr>
          <w:rFonts w:eastAsia="黑体"/>
          <w:color w:val="000000"/>
          <w:sz w:val="32"/>
        </w:rPr>
      </w:pPr>
      <w:r>
        <w:rPr>
          <w:rFonts w:eastAsia="黑体"/>
          <w:color w:val="000000"/>
          <w:sz w:val="32"/>
        </w:rPr>
        <w:t>五、联系人及联系电话</w:t>
      </w:r>
    </w:p>
    <w:p>
      <w:pPr>
        <w:autoSpaceDN w:val="0"/>
        <w:spacing w:line="360" w:lineRule="auto"/>
        <w:ind w:firstLine="640" w:firstLineChars="200"/>
        <w:rPr>
          <w:rFonts w:eastAsia="仿宋_GB2312"/>
          <w:color w:val="000000"/>
          <w:sz w:val="32"/>
        </w:rPr>
      </w:pPr>
      <w:r>
        <w:rPr>
          <w:rFonts w:hAnsi="仿宋_GB2312" w:eastAsia="仿宋_GB2312"/>
          <w:color w:val="000000"/>
          <w:sz w:val="32"/>
        </w:rPr>
        <w:t>联系人：周振娟</w:t>
      </w:r>
    </w:p>
    <w:p>
      <w:pPr>
        <w:autoSpaceDN w:val="0"/>
        <w:spacing w:line="360" w:lineRule="auto"/>
        <w:ind w:firstLine="640" w:firstLineChars="200"/>
        <w:rPr>
          <w:rFonts w:eastAsia="仿宋_GB2312"/>
          <w:color w:val="000000"/>
          <w:sz w:val="32"/>
        </w:rPr>
      </w:pPr>
      <w:r>
        <w:rPr>
          <w:rFonts w:hAnsi="仿宋_GB2312" w:eastAsia="仿宋_GB2312"/>
          <w:color w:val="000000"/>
          <w:sz w:val="32"/>
        </w:rPr>
        <w:t>联系电话：</w:t>
      </w:r>
      <w:r>
        <w:rPr>
          <w:rFonts w:eastAsia="仿宋_GB2312"/>
          <w:color w:val="000000"/>
          <w:sz w:val="32"/>
        </w:rPr>
        <w:t>0431-85097830</w:t>
      </w:r>
    </w:p>
    <w:p>
      <w:pPr>
        <w:autoSpaceDN w:val="0"/>
        <w:spacing w:line="360" w:lineRule="auto"/>
        <w:ind w:firstLine="640" w:firstLineChars="200"/>
        <w:rPr>
          <w:rFonts w:eastAsia="黑体"/>
          <w:color w:val="000000"/>
          <w:sz w:val="32"/>
        </w:rPr>
      </w:pPr>
      <w:r>
        <w:rPr>
          <w:rFonts w:eastAsia="黑体"/>
          <w:color w:val="000000"/>
          <w:sz w:val="32"/>
        </w:rPr>
        <w:t>六、其他注意事项</w:t>
      </w:r>
    </w:p>
    <w:p>
      <w:pP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hAnsi="仿宋_GB2312" w:eastAsia="仿宋_GB2312"/>
          <w:b/>
          <w:sz w:val="32"/>
          <w:lang w:val="zh-CN"/>
        </w:rPr>
        <w:t>《中国证监会关于</w:t>
      </w:r>
      <w:r>
        <w:rPr>
          <w:rFonts w:eastAsia="仿宋_GB2312"/>
          <w:b/>
          <w:sz w:val="32"/>
        </w:rPr>
        <w:t>2018年</w:t>
      </w:r>
      <w:r>
        <w:rPr>
          <w:rFonts w:hAnsi="仿宋_GB2312" w:eastAsia="仿宋_GB2312"/>
          <w:b/>
          <w:sz w:val="32"/>
          <w:lang w:val="zh-CN"/>
        </w:rPr>
        <w:t>度考试录用参照公务员法管理事业单位工作人员招录面试工作安排的公告》</w:t>
      </w:r>
      <w:r>
        <w:rPr>
          <w:rFonts w:hAnsi="仿宋_GB2312" w:eastAsia="仿宋_GB2312"/>
          <w:sz w:val="32"/>
          <w:lang w:val="zh-CN"/>
        </w:rPr>
        <w:t>。</w:t>
      </w:r>
    </w:p>
    <w:p>
      <w:pPr>
        <w:autoSpaceDN w:val="0"/>
        <w:spacing w:line="360" w:lineRule="auto"/>
        <w:ind w:firstLine="640" w:firstLineChars="200"/>
        <w:rPr>
          <w:rFonts w:eastAsia="仿宋_GB2312"/>
          <w:color w:val="000000"/>
          <w:kern w:val="0"/>
          <w:sz w:val="32"/>
        </w:rPr>
      </w:pPr>
    </w:p>
    <w:p>
      <w:pP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中国证券监督管理委员会吉林监管局</w:t>
      </w:r>
    </w:p>
    <w:p>
      <w:pPr>
        <w:autoSpaceDN w:val="0"/>
        <w:spacing w:line="360" w:lineRule="auto"/>
        <w:ind w:right="1286" w:firstLine="640" w:firstLineChars="200"/>
        <w:jc w:val="right"/>
        <w:textAlignment w:val="baseline"/>
      </w:pPr>
      <w:r>
        <w:rPr>
          <w:rFonts w:eastAsia="仿宋_GB2312"/>
          <w:color w:val="000000"/>
          <w:sz w:val="32"/>
        </w:rPr>
        <w:t>2018</w:t>
      </w:r>
      <w:r>
        <w:rPr>
          <w:rFonts w:hAnsi="仿宋_GB2312" w:eastAsia="仿宋_GB2312"/>
          <w:color w:val="000000"/>
          <w:sz w:val="32"/>
        </w:rPr>
        <w:t>年</w:t>
      </w:r>
      <w:r>
        <w:rPr>
          <w:rFonts w:eastAsia="仿宋_GB2312"/>
          <w:color w:val="000000"/>
          <w:sz w:val="32"/>
        </w:rPr>
        <w:t>2</w:t>
      </w:r>
      <w:r>
        <w:rPr>
          <w:rFonts w:hAnsi="仿宋_GB2312" w:eastAsia="仿宋_GB2312"/>
          <w:color w:val="000000"/>
          <w:sz w:val="32"/>
        </w:rPr>
        <w:t>月</w:t>
      </w:r>
      <w:r>
        <w:rPr>
          <w:rFonts w:eastAsia="仿宋_GB2312"/>
          <w:color w:val="000000"/>
          <w:sz w:val="32"/>
        </w:rPr>
        <w:t>28日</w:t>
      </w:r>
    </w:p>
    <w:sectPr>
      <w:footerReference r:id="rId5" w:type="firs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Align="top"/>
    </w:pPr>
    <w:r>
      <w:fldChar w:fldCharType="begin"/>
    </w:r>
    <w:r>
      <w:instrText xml:space="preserve"> PAGE  </w:instrText>
    </w:r>
    <w:r>
      <w:fldChar w:fldCharType="separate"/>
    </w:r>
    <w: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hAnchor="margin" w:vAnchor="text" w:xAlign="center" w:yAlign="top"/>
    </w:pPr>
    <w:r>
      <w:fldChar w:fldCharType="begin"/>
    </w:r>
    <w:r>
      <w:instrText xml:space="preserve"> PAGE  </w:instrText>
    </w:r>
    <w:r>
      <w:fldChar w:fldCharType="separate"/>
    </w:r>
    <w:r>
      <w:t>1</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720361">
    <w:nsid w:val="5A9517A9"/>
    <w:multiLevelType w:val="singleLevel"/>
    <w:tmpl w:val="5A9517A9"/>
    <w:lvl w:ilvl="0" w:tentative="1">
      <w:start w:val="1"/>
      <w:numFmt w:val="decimal"/>
      <w:suff w:val="space"/>
      <w:lvlText w:val="%1."/>
      <w:lvlJc w:val="left"/>
    </w:lvl>
  </w:abstractNum>
  <w:num w:numId="1">
    <w:abstractNumId w:val="15197203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paragraph" w:styleId="2">
    <w:name w:val="Document Map"/>
    <w:basedOn w:val="1"/>
    <w:semiHidden/>
    <w:uiPriority w:val="0"/>
    <w:pPr>
      <w:shd w:val="clear" w:color="auto" w:fill="000080"/>
    </w:pPr>
  </w:style>
  <w:style w:type="paragraph" w:styleId="3">
    <w:name w:val="Balloon Text"/>
    <w:basedOn w:val="1"/>
    <w:semiHidden/>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kern w:val="0"/>
      <w:szCs w:val="21"/>
    </w:rPr>
  </w:style>
  <w:style w:type="character" w:customStyle="1" w:styleId="8">
    <w:name w:val="页眉 Char"/>
    <w:basedOn w:val="6"/>
    <w:link w:val="5"/>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4</Pages>
  <Words>276</Words>
  <Characters>1574</Characters>
  <Lines>13</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2018-02-11T00:57:00Z</dcterms:created>
  <dc:creator>周振娟:主办部门责任人</dc:creator>
  <cp:lastModifiedBy>liang</cp:lastModifiedBy>
  <dcterms:modified xsi:type="dcterms:W3CDTF">2018-02-28T03:48:59Z</dcterms:modified>
  <dc:title>中国证监会XX监管局关于2018年度考试录用参照公务员法管理事业单位工作人员面试公告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