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2018年福建省食品药品认证审评中心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 w:bidi="ar"/>
        </w:rPr>
        <w:t>招聘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合同制专业技术人员岗位信息表</w:t>
      </w:r>
    </w:p>
    <w:bookmarkEnd w:id="0"/>
    <w:tbl>
      <w:tblPr>
        <w:tblStyle w:val="4"/>
        <w:tblpPr w:leftFromText="180" w:rightFromText="180" w:vertAnchor="text" w:horzAnchor="page" w:tblpXSpec="center" w:tblpY="621"/>
        <w:tblOverlap w:val="never"/>
        <w:tblW w:w="15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981"/>
        <w:gridCol w:w="5278"/>
        <w:gridCol w:w="1204"/>
        <w:gridCol w:w="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01食品添加剂检查员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化学工程与工艺，化学工程，化学工艺，应用化学，应用化工技术，有机化工生产技术，精细化学品生产技术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全日制普通高等院校研究生学历，硕士及以上学位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研究生及本科阶段均为全日制且所学专业应相同或相近；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有两年及以上工作经验。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食品添加剂检查员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生物学，生物科学，生物技术，生物科学与生物技术，生物化学与分子生物学，微生物学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研究生及本科阶段均为全日制且所学专业应相同或相近；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有两年及以上工作经验者优先。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食品添加剂检查员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预防医学，卫生检验，营养与食品卫生学，卫生毒理学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食品分析与检验，食品检测及管理，食品工艺与检测，食品安全及检测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食品营养与检测，食品卫生检验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研究生及本科阶段均为全日制且所学专业应相同或相近；</w:t>
            </w:r>
          </w:p>
          <w:p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有两年及以上工作经验。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科学与工程，食品科学，食品工程，食品加工与安全，水产品加工及贮藏工程，食品质量与安全，食品加工技术，食品生物技术，食品加工及管理，乳品工艺，发酵技术，营养与食品卫生，食品工艺技术，生物科学（食品质量与安全方向），生物科学（食品方向）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化妆品检查员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化学工程与工艺，化学工程，化学工艺，应用化学，应用化工技术，有机化工生产技术，精细化学品生产技术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研究生及本科阶段均为全日制且所学专业应相同或相近；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有两年及以上工作经验者优先。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5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化妆品检查员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中药学、中药制药学、中药药理学、中药药剂学、中药生药学 </w:t>
            </w:r>
          </w:p>
        </w:tc>
        <w:tc>
          <w:tcPr>
            <w:tcW w:w="12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全日制普通高等院校研究生学历，硕士及以上学位</w:t>
            </w:r>
          </w:p>
        </w:tc>
        <w:tc>
          <w:tcPr>
            <w:tcW w:w="56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研究生及本科阶段均为全日制且所学专业应相同或相近；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有两年及以上工作经验者优先。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所属院校为医药院校或综合性大学医药院系。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化妆品检查员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药学、药剂学、药物制剂、制药工程、药物分析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药品GMP检查员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微生物与生化药学、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生化制药技术、生物化学与分子生物学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生物化工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、轻工技术与工程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本岗位需适应出差与加班，适合男性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均为全日制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所学专业应相同或相近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.具有药品生产、质量或监管工作经验者优先</w:t>
            </w:r>
            <w:r>
              <w:rPr>
                <w:rFonts w:hint="eastAsia" w:ascii="仿宋_GB2312" w:hAnsi="仿宋_GB2312" w:eastAsia="仿宋_GB2312" w:cs="仿宋_GB2312"/>
                <w:color w:val="000000"/>
                <w:w w:val="98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药品GMP检查员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中药学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中药制药学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中药药理学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中药药剂学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中药生药学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无源医疗器械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技术审评与现场检查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生物医学工程、高分子材料与工程、高分子材料加工工程、材料学、材料加工工程、材料成型及控制工程、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口腔医学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、眼科学、耳鼻咽喉科学、康复医学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均为全日制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所学专业应相同或相近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3.具有医疗器械设计、生产、检测、质量管理工作经验者优先。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有源医疗器械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技术审评与现场检查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工程、医学影像技术、生物医学工程（电子方向）、电气工程及其自动化（弱电方向）、电气工程与自动化（弱电方向）、电气自动化（弱电方向）、电子信息工程、电子与信息技术、电路与系统、机械电子工程、电磁场与无线技术、无线电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电子与通信工程，信号与信息处理，精密仪器及机械，测试计量技术及仪器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诊断试剂技术审评与现场检查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临床医学、临床检验诊断学、预防医学、流行病与卫生统计学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诊断试剂技术审评与现场检查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临床医学、内科学、儿科学、老年医学、临床检验诊断学、外科学、妇产科学、肿瘤学、急诊医学、病理学、全科医学、预防医学、卫生检验、流行病与卫生统计学、劳动卫生与环境卫生学、卫生毒理学、公共卫生与预防医学、临床检验诊断学、基础医学、人体解剖与组织胚胎学、免疫学、医学实验学、分子生物医学、病理学与病理生理学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全日制普通高等院校研究生学历，硕士及以上学位</w:t>
            </w:r>
          </w:p>
        </w:tc>
        <w:tc>
          <w:tcPr>
            <w:tcW w:w="56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1.35周岁及以下；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研究生及本科阶段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均为全日制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所学专业应相同或相近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3.具有医疗器械设计、生产、检测、质量管理工作经验者优先。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</w:pPr>
    </w:p>
    <w:p/>
    <w:sectPr>
      <w:pgSz w:w="16838" w:h="11906" w:orient="landscape"/>
      <w:pgMar w:top="1134" w:right="1417" w:bottom="1020" w:left="141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37B7"/>
    <w:multiLevelType w:val="singleLevel"/>
    <w:tmpl w:val="575D37B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176C"/>
    <w:rsid w:val="5D7F1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2018-02-14T08:37:00Z</dcterms:created>
  <dc:creator>认证审评</dc:creator>
  <cp:lastModifiedBy>认证审评</cp:lastModifiedBy>
  <dcterms:modified xsi:type="dcterms:W3CDTF">2018-02-14T08:38:06Z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