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  <w:t>丽水市公路管理局直属分局招聘岗位和数量</w:t>
      </w: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1227"/>
        <w:gridCol w:w="784"/>
        <w:gridCol w:w="682"/>
        <w:gridCol w:w="1193"/>
        <w:gridCol w:w="1837"/>
        <w:gridCol w:w="15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bookmarkStart w:id="0" w:name="_GoBack"/>
            <w:bookmarkEnd w:id="0"/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学历/学位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所需专业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12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丽水市公路管理局直属分局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研究生/硕士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桥梁与隧道工程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“211工程”大学全日制毕业生学历可放宽至本科，野外作业适合男性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12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信息宣传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研究生/硕士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中国语言文学类、马克思主义理论类、新闻传播学类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“211工程”大学全日制毕业生学历可放宽至本科，要求有较好的综合文字能力</w:t>
            </w:r>
          </w:p>
        </w:tc>
      </w:tr>
    </w:tbl>
    <w:p>
      <w:pPr>
        <w:jc w:val="center"/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B916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2018-02-13T08:20:40Z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