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EF6F8"/>
        <w:tblCellMar>
          <w:left w:w="0" w:type="dxa"/>
          <w:right w:w="0" w:type="dxa"/>
        </w:tblCellMar>
        <w:tblLook w:val="04A0"/>
      </w:tblPr>
      <w:tblGrid>
        <w:gridCol w:w="1668"/>
        <w:gridCol w:w="732"/>
        <w:gridCol w:w="4908"/>
      </w:tblGrid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8"/>
              </w:rPr>
              <w:t>岗位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8"/>
              </w:rPr>
              <w:t>数量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8"/>
              </w:rPr>
              <w:t>岗位要求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外科学教师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硕士及以上学历；第一学历为全日制大学本科临床医学专业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儿科学教师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博士研究生；第一学历为全日制大学本科临床医学专业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护理学教师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硕士及以上学历；第一学历为全日制大学本科护理专业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药学或药理学教师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硕士及以上学历；第一学历为全日制大学本科药学或相关专业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生物化学教师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硕士及以上学历；第一学历为全日制大学本科以上临床医学专业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人体解剖学教师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硕士及以上学历；第一学历为全日制大学本科临床医学专业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艺术课教师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音乐教育专业硕士及以上学历；第一学历为全日制</w:t>
            </w: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211</w:t>
            </w: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大学本科音乐专业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体育课教师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体育教学专业（足球方向）硕士及以上学历；第一学历为全日制大学本科体育专业；本科和硕士均为</w:t>
            </w: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211</w:t>
            </w: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学校；二级以上裁判和运动员优先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思政课教师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硕士及以上学历；中共党员；第一学历为全日制大学本科思想政治教育专业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lastRenderedPageBreak/>
              <w:t>网络工程技术人员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硕士及以上学历；第一学历为全日制大学本科电子信息工程专业和网络工程专业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校报编辑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硕士及以上学历；第一学历为全日制大学本科临床医学或医学类相关专业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图书专业技术人员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图书馆学、图书情报及相关专业硕士及以上学历；第一学历为全日制大学本科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资产管理工作人员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会计专业硕士研究生及以上学历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劳资岗位工作人员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硕士及以上学历；第一学历为全日制大学本科；有较强的应用数学能力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基建管理人员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工民建专业硕士及以上学历</w:t>
            </w:r>
          </w:p>
        </w:tc>
      </w:tr>
      <w:tr w:rsidR="002C50B3" w:rsidRPr="002C50B3" w:rsidTr="002C5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文秘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F8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2C50B3" w:rsidRPr="002C50B3" w:rsidRDefault="002C50B3" w:rsidP="002C50B3">
            <w:pPr>
              <w:widowControl/>
              <w:spacing w:line="346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</w:pP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硕士及以上学历中文专业；第一学历为全日制大学本科</w:t>
            </w: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C50B3">
              <w:rPr>
                <w:rFonts w:ascii="Microsoft Yahei" w:eastAsia="宋体" w:hAnsi="Microsoft Yahei" w:cs="宋体"/>
                <w:color w:val="000000"/>
                <w:kern w:val="0"/>
                <w:sz w:val="28"/>
                <w:szCs w:val="28"/>
              </w:rPr>
              <w:t>中文专业</w:t>
            </w:r>
          </w:p>
        </w:tc>
      </w:tr>
    </w:tbl>
    <w:p w:rsidR="00245E7B" w:rsidRPr="002C50B3" w:rsidRDefault="00245E7B" w:rsidP="002C50B3">
      <w:pPr>
        <w:jc w:val="center"/>
      </w:pPr>
    </w:p>
    <w:sectPr w:rsidR="00245E7B" w:rsidRPr="002C50B3" w:rsidSect="0024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96B" w:rsidRDefault="00CE296B" w:rsidP="00183BF3">
      <w:pPr>
        <w:spacing w:line="240" w:lineRule="auto"/>
      </w:pPr>
      <w:r>
        <w:separator/>
      </w:r>
    </w:p>
  </w:endnote>
  <w:endnote w:type="continuationSeparator" w:id="0">
    <w:p w:rsidR="00CE296B" w:rsidRDefault="00CE296B" w:rsidP="00183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algun Gothic"/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96B" w:rsidRDefault="00CE296B" w:rsidP="00183BF3">
      <w:pPr>
        <w:spacing w:line="240" w:lineRule="auto"/>
      </w:pPr>
      <w:r>
        <w:separator/>
      </w:r>
    </w:p>
  </w:footnote>
  <w:footnote w:type="continuationSeparator" w:id="0">
    <w:p w:rsidR="00CE296B" w:rsidRDefault="00CE296B" w:rsidP="00183B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BF3"/>
    <w:rsid w:val="0005115F"/>
    <w:rsid w:val="00183BF3"/>
    <w:rsid w:val="00245E7B"/>
    <w:rsid w:val="002C50B3"/>
    <w:rsid w:val="006E1187"/>
    <w:rsid w:val="00845788"/>
    <w:rsid w:val="00CE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B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BF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BF3"/>
    <w:rPr>
      <w:sz w:val="18"/>
      <w:szCs w:val="18"/>
    </w:rPr>
  </w:style>
  <w:style w:type="paragraph" w:styleId="a5">
    <w:name w:val="Normal (Web)"/>
    <w:basedOn w:val="a"/>
    <w:uiPriority w:val="99"/>
    <w:unhideWhenUsed/>
    <w:rsid w:val="00183BF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3B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2018-02-08T01:05:00Z</dcterms:created>
  <dcterms:modified xsi:type="dcterms:W3CDTF">2018-02-08T01:33:00Z</dcterms:modified>
</cp:coreProperties>
</file>