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W w:w="8304" w:type="dxa"/>
        <w:jc w:val="center"/>
        <w:tblCellSpacing w:w="0" w:type="dxa"/>
        <w:tblInd w:w="1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4"/>
        <w:gridCol w:w="1145"/>
        <w:gridCol w:w="960"/>
        <w:gridCol w:w="575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岗位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拟招聘人数（人）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  <w:t>具体要求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环境规划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博士或985院校硕士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环境科学、环境规划、城乡规划、自然地理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等相关专业教育背景，可熟练使用GIS、RS等空间分析与制图软件，具有相关工作经验优先。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战略（规划）环境影响评价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博士或985院校硕士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环境科学或环境工程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等相关专业教育背景，能够熟练使用autocad、arcgis等专业软件，能够熟练使用AERMOD或CALPUFF模型，具有大气、水、固废影响预测与分析，大气、水等环境承载力分析等相关工作经验。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规划环境影响评价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环境科学或环境工程、生态学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等相关专业教育背景，能够熟练使用arcgis、photoshop、autocad软件。能熟练运用大气环境相关模型、软件，有大气污染源排放清单编制、大气环境容量评估研究背景或工作经验者优先。   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4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大气环境模拟模型研究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3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大气环境保护研究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等相关专业教育背景，能熟练运用大气环境相关模型、软件和大气污染源排放清单编制、大气环境容量评估研究背景或工作经验者优先。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5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节能减排和低碳规划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1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博士或985院校硕士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环境科学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等相关专业教育背景，可熟练使用一种以上碳减排模拟模型，具有相关工作经验优先。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tblCellSpacing w:w="0" w:type="dxa"/>
          <w:jc w:val="center"/>
        </w:trPr>
        <w:tc>
          <w:tcPr>
            <w:tcW w:w="444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6</w: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水污染防治和政策研究</w:t>
            </w:r>
          </w:p>
        </w:tc>
        <w:tc>
          <w:tcPr>
            <w:tcW w:w="96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2</w:t>
            </w:r>
          </w:p>
        </w:tc>
        <w:tc>
          <w:tcPr>
            <w:tcW w:w="575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博士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名、985院校硕士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名，具有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u w:val="single"/>
              </w:rPr>
              <w:t>水环境保护研究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  <w:t>等相关专业教育背景，能够熟练使用arcgis、photoshop、autocad软件，具有水环境模型开发或使用、水污染治理方案和规划编制等研究背景或工作经验者优先，适宜男性。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A218C5"/>
    <w:rsid w:val="54E21B51"/>
    <w:rsid w:val="5AA218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2016-04-19T12:25:00Z</dcterms:created>
  <dc:creator>jing</dc:creator>
  <cp:lastModifiedBy>jing</cp:lastModifiedBy>
  <dcterms:modified xsi:type="dcterms:W3CDTF">2016-04-19T12:26:01Z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